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B84" w:rsidRPr="00EC56BD" w:rsidRDefault="00C2027A" w:rsidP="001450D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56BD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C2027A" w:rsidRPr="00EC56BD" w:rsidRDefault="00DD7F35" w:rsidP="00771C5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</w:t>
      </w:r>
      <w:r w:rsidR="00C2027A" w:rsidRPr="00EC56BD">
        <w:rPr>
          <w:rFonts w:ascii="Times New Roman" w:hAnsi="Times New Roman" w:cs="Times New Roman"/>
          <w:b/>
          <w:sz w:val="26"/>
          <w:szCs w:val="26"/>
        </w:rPr>
        <w:t xml:space="preserve"> проекту решения </w:t>
      </w:r>
      <w:r w:rsidR="008C5EC8" w:rsidRPr="00EC56BD">
        <w:rPr>
          <w:rFonts w:ascii="Times New Roman" w:hAnsi="Times New Roman" w:cs="Times New Roman"/>
          <w:b/>
          <w:sz w:val="26"/>
          <w:szCs w:val="26"/>
        </w:rPr>
        <w:t xml:space="preserve">Совета депутатов </w:t>
      </w:r>
      <w:r w:rsidR="00980E59"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  <w:r w:rsidR="005F30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13E09">
        <w:rPr>
          <w:rFonts w:ascii="Times New Roman" w:hAnsi="Times New Roman" w:cs="Times New Roman"/>
          <w:b/>
          <w:sz w:val="26"/>
          <w:szCs w:val="26"/>
        </w:rPr>
        <w:t>«</w:t>
      </w:r>
      <w:proofErr w:type="spellStart"/>
      <w:r w:rsidR="00A13E09">
        <w:rPr>
          <w:rFonts w:ascii="Times New Roman" w:hAnsi="Times New Roman" w:cs="Times New Roman"/>
          <w:b/>
          <w:sz w:val="26"/>
          <w:szCs w:val="26"/>
        </w:rPr>
        <w:t>Колгуевский</w:t>
      </w:r>
      <w:proofErr w:type="spellEnd"/>
      <w:r w:rsidR="008C5EC8" w:rsidRPr="00EC56BD">
        <w:rPr>
          <w:rFonts w:ascii="Times New Roman" w:hAnsi="Times New Roman" w:cs="Times New Roman"/>
          <w:b/>
          <w:sz w:val="26"/>
          <w:szCs w:val="26"/>
        </w:rPr>
        <w:t xml:space="preserve"> сельсовет» </w:t>
      </w:r>
      <w:r w:rsidR="00980E59">
        <w:rPr>
          <w:rFonts w:ascii="Times New Roman" w:hAnsi="Times New Roman" w:cs="Times New Roman"/>
          <w:b/>
          <w:sz w:val="26"/>
          <w:szCs w:val="26"/>
        </w:rPr>
        <w:t xml:space="preserve">Заполярного района </w:t>
      </w:r>
      <w:r w:rsidR="008C5EC8" w:rsidRPr="00EC56BD">
        <w:rPr>
          <w:rFonts w:ascii="Times New Roman" w:hAnsi="Times New Roman" w:cs="Times New Roman"/>
          <w:b/>
          <w:sz w:val="26"/>
          <w:szCs w:val="26"/>
        </w:rPr>
        <w:t>Ненецкого автономного округа</w:t>
      </w:r>
    </w:p>
    <w:p w:rsidR="00C16AC0" w:rsidRPr="00EC56BD" w:rsidRDefault="00433DB6" w:rsidP="00771C5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56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C7CFB" w:rsidRPr="00EC56BD">
        <w:rPr>
          <w:rFonts w:ascii="Times New Roman" w:hAnsi="Times New Roman" w:cs="Times New Roman"/>
          <w:b/>
          <w:sz w:val="26"/>
          <w:szCs w:val="26"/>
        </w:rPr>
        <w:t xml:space="preserve">«О местном бюджете </w:t>
      </w:r>
      <w:r w:rsidR="002F740B">
        <w:rPr>
          <w:rFonts w:ascii="Times New Roman" w:hAnsi="Times New Roman" w:cs="Times New Roman"/>
          <w:b/>
          <w:sz w:val="26"/>
          <w:szCs w:val="26"/>
        </w:rPr>
        <w:t>на 2024</w:t>
      </w:r>
      <w:r w:rsidR="00C2027A" w:rsidRPr="00EC56BD">
        <w:rPr>
          <w:rFonts w:ascii="Times New Roman" w:hAnsi="Times New Roman" w:cs="Times New Roman"/>
          <w:b/>
          <w:sz w:val="26"/>
          <w:szCs w:val="26"/>
        </w:rPr>
        <w:t xml:space="preserve"> год»</w:t>
      </w:r>
    </w:p>
    <w:p w:rsidR="001450D8" w:rsidRPr="00EC56BD" w:rsidRDefault="001450D8" w:rsidP="001450D8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1450D8" w:rsidRPr="00EC56BD" w:rsidRDefault="00E4723B" w:rsidP="00CD78D9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Ноябрь</w:t>
      </w:r>
      <w:r w:rsidR="002F740B">
        <w:rPr>
          <w:rFonts w:ascii="Times New Roman" w:hAnsi="Times New Roman" w:cs="Times New Roman"/>
          <w:b/>
          <w:sz w:val="26"/>
          <w:szCs w:val="26"/>
        </w:rPr>
        <w:t xml:space="preserve"> 2023</w:t>
      </w:r>
      <w:r w:rsidR="001450D8" w:rsidRPr="00EC56BD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771C50" w:rsidRPr="00EC56BD" w:rsidRDefault="00771C50" w:rsidP="00771C5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776" w:rsidRPr="00EC56BD" w:rsidRDefault="003A3776" w:rsidP="00DD7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56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Субъект правотворческой инициативы: </w:t>
      </w:r>
      <w:r w:rsidR="00C2300E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Сельского поселения</w:t>
      </w:r>
      <w:r w:rsidR="00411F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="00411F5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Колгуевский</w:t>
      </w:r>
      <w:proofErr w:type="spellEnd"/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</w:t>
      </w:r>
      <w:r w:rsidR="00C23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ЗР 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НАО.</w:t>
      </w:r>
    </w:p>
    <w:p w:rsidR="003A3776" w:rsidRPr="00EC56BD" w:rsidRDefault="003A3776" w:rsidP="00DD7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56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Разработчик проекта: </w:t>
      </w:r>
      <w:r w:rsidR="00411F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 обеспечения деятельности администрации </w:t>
      </w:r>
      <w:proofErr w:type="spellStart"/>
      <w:r w:rsidR="00411F5C">
        <w:rPr>
          <w:rFonts w:ascii="Times New Roman" w:eastAsia="Times New Roman" w:hAnsi="Times New Roman" w:cs="Times New Roman"/>
          <w:sz w:val="26"/>
          <w:szCs w:val="26"/>
          <w:lang w:eastAsia="ru-RU"/>
        </w:rPr>
        <w:t>мо</w:t>
      </w:r>
      <w:proofErr w:type="spellEnd"/>
      <w:r w:rsidR="00411F5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A3776" w:rsidRPr="00EC56BD" w:rsidRDefault="003A3776" w:rsidP="00DD7F35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746D1" w:rsidRDefault="00DD7F35" w:rsidP="00084665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Проект решения</w:t>
      </w:r>
      <w:r w:rsidR="00C2027A" w:rsidRPr="00EC56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2300E">
        <w:rPr>
          <w:rFonts w:ascii="Times New Roman" w:hAnsi="Times New Roman" w:cs="Times New Roman"/>
          <w:sz w:val="26"/>
          <w:szCs w:val="26"/>
        </w:rPr>
        <w:t>Совета депутатов Сельского поселения</w:t>
      </w:r>
      <w:r w:rsidR="00770ACF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770ACF">
        <w:rPr>
          <w:rFonts w:ascii="Times New Roman" w:hAnsi="Times New Roman" w:cs="Times New Roman"/>
          <w:sz w:val="26"/>
          <w:szCs w:val="26"/>
        </w:rPr>
        <w:t>Колгуевский</w:t>
      </w:r>
      <w:proofErr w:type="spellEnd"/>
      <w:r w:rsidR="00771C50" w:rsidRPr="00EC56BD">
        <w:rPr>
          <w:rFonts w:ascii="Times New Roman" w:hAnsi="Times New Roman" w:cs="Times New Roman"/>
          <w:sz w:val="26"/>
          <w:szCs w:val="26"/>
        </w:rPr>
        <w:t xml:space="preserve"> сельсовет» </w:t>
      </w:r>
      <w:r w:rsidR="00C2300E">
        <w:rPr>
          <w:rFonts w:ascii="Times New Roman" w:hAnsi="Times New Roman" w:cs="Times New Roman"/>
          <w:sz w:val="26"/>
          <w:szCs w:val="26"/>
        </w:rPr>
        <w:t xml:space="preserve">ЗР </w:t>
      </w:r>
      <w:r w:rsidR="00771C50" w:rsidRPr="00EC56BD">
        <w:rPr>
          <w:rFonts w:ascii="Times New Roman" w:hAnsi="Times New Roman" w:cs="Times New Roman"/>
          <w:sz w:val="26"/>
          <w:szCs w:val="26"/>
        </w:rPr>
        <w:t>НАО</w:t>
      </w:r>
      <w:r w:rsidR="003A3776" w:rsidRPr="00EC56BD">
        <w:rPr>
          <w:rFonts w:ascii="Times New Roman" w:hAnsi="Times New Roman" w:cs="Times New Roman"/>
          <w:sz w:val="26"/>
          <w:szCs w:val="26"/>
        </w:rPr>
        <w:t xml:space="preserve"> </w:t>
      </w:r>
      <w:r w:rsidR="00771C50" w:rsidRPr="00EC56BD">
        <w:rPr>
          <w:rFonts w:ascii="Times New Roman" w:hAnsi="Times New Roman" w:cs="Times New Roman"/>
          <w:sz w:val="26"/>
          <w:szCs w:val="26"/>
        </w:rPr>
        <w:t xml:space="preserve">«О местном </w:t>
      </w:r>
      <w:r w:rsidR="0016409C">
        <w:rPr>
          <w:rFonts w:ascii="Times New Roman" w:hAnsi="Times New Roman" w:cs="Times New Roman"/>
          <w:sz w:val="26"/>
          <w:szCs w:val="26"/>
        </w:rPr>
        <w:t>бюджете</w:t>
      </w:r>
      <w:r w:rsidR="002F740B">
        <w:rPr>
          <w:rFonts w:ascii="Times New Roman" w:hAnsi="Times New Roman" w:cs="Times New Roman"/>
          <w:sz w:val="26"/>
          <w:szCs w:val="26"/>
        </w:rPr>
        <w:t xml:space="preserve"> на 2024</w:t>
      </w:r>
      <w:r w:rsidR="00771C50" w:rsidRPr="00EC56BD">
        <w:rPr>
          <w:rFonts w:ascii="Times New Roman" w:hAnsi="Times New Roman" w:cs="Times New Roman"/>
          <w:sz w:val="26"/>
          <w:szCs w:val="26"/>
        </w:rPr>
        <w:t xml:space="preserve"> год» разработан в соответствии с положениями Бюджетног</w:t>
      </w:r>
      <w:r w:rsidR="008F6A26" w:rsidRPr="00EC56BD">
        <w:rPr>
          <w:rFonts w:ascii="Times New Roman" w:hAnsi="Times New Roman" w:cs="Times New Roman"/>
          <w:sz w:val="26"/>
          <w:szCs w:val="26"/>
        </w:rPr>
        <w:t>о кодекса Российской Федерации,</w:t>
      </w:r>
      <w:r w:rsidR="00A02071" w:rsidRPr="00EC56BD">
        <w:rPr>
          <w:rFonts w:ascii="Times New Roman" w:hAnsi="Times New Roman" w:cs="Times New Roman"/>
          <w:sz w:val="26"/>
          <w:szCs w:val="26"/>
        </w:rPr>
        <w:t xml:space="preserve"> </w:t>
      </w:r>
      <w:r w:rsidR="00BE7909" w:rsidRPr="00BE7909">
        <w:rPr>
          <w:rFonts w:ascii="Times New Roman" w:eastAsia="Times New Roman" w:hAnsi="Times New Roman" w:cs="Times New Roman"/>
          <w:bCs/>
          <w:sz w:val="26"/>
          <w:szCs w:val="26"/>
        </w:rPr>
        <w:t>Положением "О бюджетном процессе в муниципальном образовании «</w:t>
      </w:r>
      <w:proofErr w:type="spellStart"/>
      <w:r w:rsidR="00BE7909" w:rsidRPr="00BE7909">
        <w:rPr>
          <w:rFonts w:ascii="Times New Roman" w:eastAsia="Times New Roman" w:hAnsi="Times New Roman" w:cs="Times New Roman"/>
          <w:bCs/>
          <w:sz w:val="26"/>
          <w:szCs w:val="26"/>
        </w:rPr>
        <w:t>Колгуевский</w:t>
      </w:r>
      <w:proofErr w:type="spellEnd"/>
      <w:r w:rsidR="00BE7909" w:rsidRPr="00BE7909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сельсовет» Ненецкого автономного округа утвержденным Решением Советом депутатов МО «</w:t>
      </w:r>
      <w:proofErr w:type="spellStart"/>
      <w:r w:rsidR="00BE7909" w:rsidRPr="00BE7909">
        <w:rPr>
          <w:rFonts w:ascii="Times New Roman" w:eastAsia="Times New Roman" w:hAnsi="Times New Roman" w:cs="Times New Roman"/>
          <w:bCs/>
          <w:sz w:val="26"/>
          <w:szCs w:val="26"/>
        </w:rPr>
        <w:t>Колгуевский</w:t>
      </w:r>
      <w:proofErr w:type="spellEnd"/>
      <w:r w:rsidR="00BE7909" w:rsidRPr="00BE7909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сельсовет» НАО от 26.12.2013 № 9(внесение изменений от 13.11.2015г. №1)</w:t>
      </w:r>
      <w:proofErr w:type="gramEnd"/>
    </w:p>
    <w:p w:rsidR="00084665" w:rsidRPr="008472FB" w:rsidRDefault="00084665" w:rsidP="00084665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C56BD">
        <w:rPr>
          <w:rFonts w:ascii="Times New Roman" w:hAnsi="Times New Roman" w:cs="Times New Roman"/>
          <w:sz w:val="26"/>
          <w:szCs w:val="26"/>
        </w:rPr>
        <w:t>Проект местного бюджета составлен по кодам бюджетной классификации доходов, расходо</w:t>
      </w:r>
      <w:r>
        <w:rPr>
          <w:rFonts w:ascii="Times New Roman" w:hAnsi="Times New Roman" w:cs="Times New Roman"/>
          <w:sz w:val="26"/>
          <w:szCs w:val="26"/>
        </w:rPr>
        <w:t xml:space="preserve">в,  в соответствии </w:t>
      </w:r>
      <w:r w:rsidRPr="008472FB">
        <w:rPr>
          <w:rFonts w:ascii="Times New Roman" w:hAnsi="Times New Roman" w:cs="Times New Roman"/>
          <w:sz w:val="26"/>
          <w:szCs w:val="26"/>
        </w:rPr>
        <w:t xml:space="preserve">с 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Порядком формирования и применения кодов бюджетной классификации Ро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ссийской Федерации, их структуру и принципы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 xml:space="preserve"> назначения, утвержденны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й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 xml:space="preserve"> приказом Министерства финансов Россий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ской Федерации от 6 июня 2019 года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 xml:space="preserve"> № 85н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ом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Минф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ина России от 29.11.2019 № 206н «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О внесении изменений в Порядок формирования и применения кодов бюджетной классификации Российской Федерации, их структуру</w:t>
      </w:r>
      <w:proofErr w:type="gramEnd"/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и принципы назначения, утвержденные приказом Министерства финансов Российской Федерации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»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от 6 июня 2019 г. № 85н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C56BD">
        <w:rPr>
          <w:rFonts w:ascii="Times New Roman" w:hAnsi="Times New Roman" w:cs="Times New Roman"/>
          <w:sz w:val="26"/>
          <w:szCs w:val="26"/>
        </w:rPr>
        <w:t>с учетом изменения целевых статей.</w:t>
      </w:r>
    </w:p>
    <w:p w:rsidR="0005649A" w:rsidRPr="00EC56BD" w:rsidRDefault="00156C07" w:rsidP="00C01F89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C01F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представленном пр</w:t>
      </w:r>
      <w:r w:rsidR="00C2300E">
        <w:rPr>
          <w:rFonts w:ascii="Times New Roman" w:eastAsia="Times New Roman" w:hAnsi="Times New Roman" w:cs="Times New Roman"/>
          <w:sz w:val="26"/>
          <w:szCs w:val="26"/>
          <w:lang w:eastAsia="ru-RU"/>
        </w:rPr>
        <w:t>оекте решения Совета депутатов С</w:t>
      </w:r>
      <w:r w:rsidR="00C01F89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ельского поселения</w:t>
      </w:r>
      <w:r w:rsidR="007D7D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="007D7D0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Колгуевский</w:t>
      </w:r>
      <w:proofErr w:type="spellEnd"/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</w:t>
      </w:r>
      <w:r w:rsidR="005F3037" w:rsidRPr="005F3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2300E">
        <w:rPr>
          <w:rFonts w:ascii="Times New Roman" w:eastAsia="Times New Roman" w:hAnsi="Times New Roman" w:cs="Times New Roman"/>
          <w:sz w:val="26"/>
          <w:szCs w:val="26"/>
          <w:lang w:eastAsia="ru-RU"/>
        </w:rPr>
        <w:t>ЗР НАО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</w:t>
      </w:r>
      <w:r w:rsidR="002F740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местном бюджете на 2024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5A7F79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C01F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</w:t>
      </w:r>
      <w:r w:rsidR="00C01F89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матриваются следующие параметры</w:t>
      </w:r>
      <w:r w:rsidR="005A7F79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</w:t>
      </w:r>
      <w:r w:rsidR="002F74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56C07" w:rsidRPr="00EC56BD" w:rsidRDefault="00C01F89" w:rsidP="00084665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местным бюджетом утверждаются</w:t>
      </w:r>
      <w:r w:rsidR="008123AA" w:rsidRPr="00EC56BD">
        <w:rPr>
          <w:rFonts w:ascii="Times New Roman" w:hAnsi="Times New Roman" w:cs="Times New Roman"/>
          <w:sz w:val="26"/>
          <w:szCs w:val="26"/>
        </w:rPr>
        <w:t xml:space="preserve"> следующие показатели:</w:t>
      </w:r>
    </w:p>
    <w:p w:rsidR="00F32B5D" w:rsidRPr="00EC56BD" w:rsidRDefault="00084665" w:rsidP="00084665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="00393328" w:rsidRPr="00EC56BD">
        <w:rPr>
          <w:rFonts w:ascii="Times New Roman" w:hAnsi="Times New Roman" w:cs="Times New Roman"/>
          <w:sz w:val="26"/>
          <w:szCs w:val="26"/>
        </w:rPr>
        <w:t>общий объем</w:t>
      </w:r>
      <w:r w:rsidR="00C01F89">
        <w:rPr>
          <w:rFonts w:ascii="Times New Roman" w:hAnsi="Times New Roman" w:cs="Times New Roman"/>
          <w:sz w:val="26"/>
          <w:szCs w:val="26"/>
        </w:rPr>
        <w:t xml:space="preserve"> доходов составляет:</w:t>
      </w:r>
      <w:r w:rsidR="0028512A">
        <w:rPr>
          <w:rFonts w:ascii="Times New Roman" w:eastAsia="Times New Roman" w:hAnsi="Times New Roman" w:cs="Times New Roman"/>
          <w:bCs/>
          <w:sz w:val="26"/>
          <w:szCs w:val="26"/>
        </w:rPr>
        <w:t xml:space="preserve"> 22216,3</w:t>
      </w:r>
      <w:r w:rsidR="00C01F89" w:rsidRPr="00C01F8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C01F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258E6" w:rsidRPr="00EC56BD">
        <w:rPr>
          <w:rFonts w:ascii="Times New Roman" w:hAnsi="Times New Roman" w:cs="Times New Roman"/>
          <w:sz w:val="26"/>
          <w:szCs w:val="26"/>
        </w:rPr>
        <w:t>т.</w:t>
      </w:r>
      <w:r w:rsidR="008A2E79" w:rsidRPr="00EC56BD">
        <w:rPr>
          <w:rFonts w:ascii="Times New Roman" w:hAnsi="Times New Roman" w:cs="Times New Roman"/>
          <w:sz w:val="26"/>
          <w:szCs w:val="26"/>
        </w:rPr>
        <w:t>р</w:t>
      </w:r>
      <w:proofErr w:type="spellEnd"/>
      <w:r w:rsidR="00393328" w:rsidRPr="00EC56BD">
        <w:rPr>
          <w:rFonts w:ascii="Times New Roman" w:hAnsi="Times New Roman" w:cs="Times New Roman"/>
          <w:sz w:val="26"/>
          <w:szCs w:val="26"/>
        </w:rPr>
        <w:t xml:space="preserve">., </w:t>
      </w:r>
    </w:p>
    <w:p w:rsidR="00393328" w:rsidRPr="00EC56BD" w:rsidRDefault="00393328" w:rsidP="00084665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56BD">
        <w:rPr>
          <w:rFonts w:ascii="Times New Roman" w:hAnsi="Times New Roman" w:cs="Times New Roman"/>
          <w:sz w:val="26"/>
          <w:szCs w:val="26"/>
        </w:rPr>
        <w:t xml:space="preserve">из них собственные </w:t>
      </w:r>
      <w:r w:rsidR="0028512A">
        <w:rPr>
          <w:rFonts w:ascii="Times New Roman" w:hAnsi="Times New Roman" w:cs="Times New Roman"/>
          <w:sz w:val="26"/>
          <w:szCs w:val="26"/>
        </w:rPr>
        <w:t xml:space="preserve">585 </w:t>
      </w:r>
      <w:proofErr w:type="spellStart"/>
      <w:r w:rsidR="004258E6" w:rsidRPr="00EC56BD">
        <w:rPr>
          <w:rFonts w:ascii="Times New Roman" w:hAnsi="Times New Roman" w:cs="Times New Roman"/>
          <w:sz w:val="26"/>
          <w:szCs w:val="26"/>
        </w:rPr>
        <w:t>т.</w:t>
      </w:r>
      <w:r w:rsidR="008A2E79" w:rsidRPr="00EC56BD">
        <w:rPr>
          <w:rFonts w:ascii="Times New Roman" w:hAnsi="Times New Roman" w:cs="Times New Roman"/>
          <w:sz w:val="26"/>
          <w:szCs w:val="26"/>
        </w:rPr>
        <w:t>р</w:t>
      </w:r>
      <w:proofErr w:type="spellEnd"/>
      <w:r w:rsidRPr="00EC56B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32B5D" w:rsidRDefault="00F32B5D" w:rsidP="00084665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C56BD">
        <w:rPr>
          <w:rFonts w:ascii="Times New Roman" w:hAnsi="Times New Roman" w:cs="Times New Roman"/>
          <w:sz w:val="26"/>
          <w:szCs w:val="26"/>
        </w:rPr>
        <w:t xml:space="preserve">- общий объем расходов составляет: </w:t>
      </w:r>
      <w:r w:rsidR="0028512A">
        <w:rPr>
          <w:rFonts w:ascii="Times New Roman" w:eastAsia="Times New Roman" w:hAnsi="Times New Roman" w:cs="Times New Roman"/>
          <w:bCs/>
          <w:sz w:val="26"/>
          <w:szCs w:val="26"/>
        </w:rPr>
        <w:t>22530,2</w:t>
      </w:r>
      <w:r w:rsidR="00C01F89" w:rsidRPr="00C01F8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4E34E4" w:rsidRPr="00EC56B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258E6" w:rsidRPr="00EC56BD">
        <w:rPr>
          <w:rFonts w:ascii="Times New Roman" w:hAnsi="Times New Roman" w:cs="Times New Roman"/>
          <w:sz w:val="26"/>
          <w:szCs w:val="26"/>
        </w:rPr>
        <w:t>т.</w:t>
      </w:r>
      <w:r w:rsidR="008A2E79" w:rsidRPr="00EC56BD">
        <w:rPr>
          <w:rFonts w:ascii="Times New Roman" w:hAnsi="Times New Roman" w:cs="Times New Roman"/>
          <w:sz w:val="26"/>
          <w:szCs w:val="26"/>
        </w:rPr>
        <w:t>р</w:t>
      </w:r>
      <w:proofErr w:type="spellEnd"/>
      <w:r w:rsidRPr="00EC56BD">
        <w:rPr>
          <w:rFonts w:ascii="Times New Roman" w:hAnsi="Times New Roman" w:cs="Times New Roman"/>
          <w:sz w:val="26"/>
          <w:szCs w:val="26"/>
        </w:rPr>
        <w:t>.</w:t>
      </w:r>
    </w:p>
    <w:p w:rsidR="00CD5691" w:rsidRPr="00EC56BD" w:rsidRDefault="006E3112" w:rsidP="00C01F89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дефицит местного бюджета составляет: 313,9 </w:t>
      </w:r>
      <w:proofErr w:type="spellStart"/>
      <w:r>
        <w:rPr>
          <w:rFonts w:ascii="Times New Roman" w:hAnsi="Times New Roman" w:cs="Times New Roman"/>
          <w:sz w:val="26"/>
          <w:szCs w:val="26"/>
        </w:rPr>
        <w:t>т.р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EB0343" w:rsidRPr="00EC56BD" w:rsidRDefault="007C57CD" w:rsidP="007C57C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EA25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0343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Дефицит в суммовом выражении составит </w:t>
      </w:r>
      <w:r w:rsidR="00C01F89">
        <w:rPr>
          <w:rFonts w:ascii="Times New Roman" w:eastAsia="Times New Roman" w:hAnsi="Times New Roman" w:cs="Times New Roman"/>
          <w:sz w:val="26"/>
          <w:szCs w:val="26"/>
          <w:lang w:eastAsia="ru-RU"/>
        </w:rPr>
        <w:t>313,9</w:t>
      </w:r>
      <w:r w:rsidR="00D7308D" w:rsidRPr="00EC56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spellStart"/>
      <w:r w:rsidR="00EB0343" w:rsidRPr="000165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т.р</w:t>
      </w:r>
      <w:proofErr w:type="spellEnd"/>
      <w:r w:rsidR="00EB0343" w:rsidRPr="000165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EB0343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, в процентном соотношении к доходам без учёта безвозмездных поступлений объем дефицита</w:t>
      </w:r>
      <w:r w:rsidR="00CE2996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0343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</w:t>
      </w:r>
      <w:r w:rsidR="00CE2996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ит</w:t>
      </w:r>
      <w:r w:rsidR="00EB0343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512A">
        <w:rPr>
          <w:rFonts w:ascii="Times New Roman" w:eastAsia="Times New Roman" w:hAnsi="Times New Roman" w:cs="Times New Roman"/>
          <w:sz w:val="26"/>
          <w:szCs w:val="26"/>
          <w:lang w:eastAsia="ru-RU"/>
        </w:rPr>
        <w:t>53,7</w:t>
      </w:r>
      <w:r w:rsidR="00F23E2D" w:rsidRPr="00EC56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B0343" w:rsidRPr="00EC56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%;</w:t>
      </w:r>
    </w:p>
    <w:p w:rsidR="00EB0343" w:rsidRPr="00EC56BD" w:rsidRDefault="00C01F89" w:rsidP="00084665">
      <w:pPr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1F89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Источником дефицита являются</w:t>
      </w:r>
      <w:r w:rsidRPr="00C01F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01F8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средства дорожного фонда</w:t>
      </w:r>
      <w:r w:rsidR="0028512A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в </w:t>
      </w:r>
      <w:r w:rsidR="00416385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размере 313,9 </w:t>
      </w:r>
      <w:proofErr w:type="spellStart"/>
      <w:r w:rsidR="00416385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т.р</w:t>
      </w:r>
      <w:proofErr w:type="spellEnd"/>
      <w:r w:rsidR="00416385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. на 01.01.2024</w:t>
      </w:r>
      <w:r w:rsidR="0028512A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, которые не</w:t>
      </w:r>
      <w:r w:rsidRPr="00C01F8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использованы из-за отсутствия зарегистрированной автомобильной дороги на территории поселения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.</w:t>
      </w:r>
    </w:p>
    <w:p w:rsidR="00BA64A0" w:rsidRPr="00EC56BD" w:rsidRDefault="00BA64A0" w:rsidP="00BA64A0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5FD" w:rsidRPr="000F35FD" w:rsidRDefault="000F35FD" w:rsidP="000F35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Налоговые и неналоговые доходы бюджета</w:t>
      </w:r>
    </w:p>
    <w:p w:rsidR="000F35FD" w:rsidRPr="000F35FD" w:rsidRDefault="000F35FD" w:rsidP="000F35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F35FD" w:rsidRPr="000F35FD" w:rsidRDefault="000F35FD" w:rsidP="000F35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План по налоговым доходам установлен </w:t>
      </w:r>
      <w:r w:rsidR="0028512A">
        <w:rPr>
          <w:rFonts w:ascii="Times New Roman" w:eastAsia="Times New Roman" w:hAnsi="Times New Roman" w:cs="Times New Roman"/>
          <w:sz w:val="26"/>
          <w:szCs w:val="26"/>
          <w:lang w:eastAsia="ru-RU"/>
        </w:rPr>
        <w:t>585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или </w:t>
      </w:r>
      <w:r w:rsidR="002851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2,6 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бюджетных назначений.</w:t>
      </w:r>
    </w:p>
    <w:p w:rsidR="000F35FD" w:rsidRPr="000F35FD" w:rsidRDefault="000F35FD" w:rsidP="000F35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28512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2023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 ожидаемое испол</w:t>
      </w:r>
      <w:r w:rsidR="002851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нение по налоговым доходам 424,2 </w:t>
      </w:r>
      <w:r w:rsidR="00F2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., поступления налого</w:t>
      </w:r>
      <w:r w:rsidR="0028512A">
        <w:rPr>
          <w:rFonts w:ascii="Times New Roman" w:eastAsia="Times New Roman" w:hAnsi="Times New Roman" w:cs="Times New Roman"/>
          <w:sz w:val="26"/>
          <w:szCs w:val="26"/>
          <w:lang w:eastAsia="ru-RU"/>
        </w:rPr>
        <w:t>в в 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у</w:t>
      </w:r>
      <w:r w:rsidR="0028512A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величится на 160,8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</w:t>
      </w: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                                                   Налоговые доходы бюджета</w:t>
      </w: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</w:p>
    <w:p w:rsidR="000F35FD" w:rsidRPr="000F35FD" w:rsidRDefault="000F35FD" w:rsidP="000F35FD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статьи 61.5 БК РФ </w:t>
      </w: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налог на доходы физических лиц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зачисляется в бюджет сельских поселений по нормативу 2,0% и в соответствии со ст.1 Закона НАО от 31.10.2013 №91-ОЗ «О нормативах отчислений от налогов в бюджеты муниципальных образований Ненецкого автономного округа» (далее - Закон №91-ОЗ) в размере 5% от суммы налога, взимаемого на территории соответствующего поселения. </w:t>
      </w:r>
      <w:proofErr w:type="gramEnd"/>
    </w:p>
    <w:p w:rsidR="000F35FD" w:rsidRPr="000F35FD" w:rsidRDefault="000F35FD" w:rsidP="0028512A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Поступление налога на доходы физических лиц</w:t>
      </w: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23E2D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</w:t>
      </w:r>
      <w:r w:rsidR="002851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ее НДФЛ) за 2024 г. составит </w:t>
      </w:r>
      <w:r w:rsidR="001201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51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540 </w:t>
      </w:r>
      <w:proofErr w:type="spellStart"/>
      <w:r w:rsidR="001201B2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="001201B2">
        <w:rPr>
          <w:rFonts w:ascii="Times New Roman" w:eastAsia="Times New Roman" w:hAnsi="Times New Roman" w:cs="Times New Roman"/>
          <w:sz w:val="26"/>
          <w:szCs w:val="26"/>
          <w:lang w:eastAsia="ru-RU"/>
        </w:rPr>
        <w:t>., в</w:t>
      </w:r>
      <w:r w:rsidR="002851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2023</w:t>
      </w:r>
      <w:r w:rsidR="001201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ожидаемое поступление</w:t>
      </w:r>
      <w:r w:rsidR="002851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540,8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Изменение </w:t>
      </w: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поступлений</w:t>
      </w:r>
      <w:r w:rsidR="002851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ожидается, в связи установленным сроком </w:t>
      </w:r>
      <w:r w:rsidR="000245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Налогового Кодекса  уплаты налога всех организаций за декабрь до 31.12.2023. 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Администратором данного налога является Управление Федеральной налоговой службы по Архангельской области и Ненецкому автономному округу.</w:t>
      </w: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Земельный налог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 Решением Совета депутатов МО от 01.11.2011 года №6 (в редакции от 24.12.2012 г.  № 4) «Об установлении земельного налога на территории муниципального образования «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Колгуевский</w:t>
      </w:r>
      <w:proofErr w:type="spell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Ненецкого автономного округа». В соответствии с пунктом 1 статьи 61.5 БК РФ данный налог зачисляется в бюджет поселений по нормативу 100,0%. Расчет по земельному налогу произведен на основании кадастровой стоимости земли.</w:t>
      </w: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План по</w:t>
      </w: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F35F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земельному налогу</w:t>
      </w: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201B2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8D6203">
        <w:rPr>
          <w:rFonts w:ascii="Times New Roman" w:eastAsia="Times New Roman" w:hAnsi="Times New Roman" w:cs="Times New Roman"/>
          <w:sz w:val="26"/>
          <w:szCs w:val="26"/>
          <w:lang w:eastAsia="ru-RU"/>
        </w:rPr>
        <w:t>а 2024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D6203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 в сумме 25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="00F44A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r w:rsidR="008D6203">
        <w:rPr>
          <w:rFonts w:ascii="Times New Roman" w:eastAsia="Times New Roman" w:hAnsi="Times New Roman" w:cs="Times New Roman"/>
          <w:sz w:val="26"/>
          <w:szCs w:val="26"/>
          <w:lang w:eastAsia="ru-RU"/>
        </w:rPr>
        <w:t>ожидаемое поступление за 2023 год -147,9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D6203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 знаком минус.</w:t>
      </w:r>
      <w:r w:rsidRPr="000F35F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F44A9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С 01.01.2021 года изменилась кадастровая</w:t>
      </w:r>
      <w:r w:rsidR="001201B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стоимость земельных участков</w:t>
      </w:r>
      <w:r w:rsidR="00F44A9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.</w:t>
      </w:r>
      <w:r w:rsidR="008D620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В 2023</w:t>
      </w:r>
      <w:r w:rsidR="001201B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году произ</w:t>
      </w:r>
      <w:r w:rsidR="008D620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ведены возвраты налога в МИФНС </w:t>
      </w:r>
      <w:r w:rsidR="001201B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по заявлениям налогоплательщиков за 2021</w:t>
      </w:r>
      <w:r w:rsidR="008D620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и 2022</w:t>
      </w:r>
      <w:r w:rsidR="001201B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год</w:t>
      </w:r>
      <w:r w:rsidR="008D620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ы, с 2023 года МП ЗР </w:t>
      </w:r>
      <w:proofErr w:type="spellStart"/>
      <w:r w:rsidR="008D620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Севержилкомсервис</w:t>
      </w:r>
      <w:proofErr w:type="spellEnd"/>
      <w:r w:rsidR="008D620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оформил 2 земельных участка в аренду.</w:t>
      </w: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Плательщиками</w:t>
      </w:r>
      <w:r w:rsidR="008D62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налога являются четыре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юридических лиц:</w:t>
      </w: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1.</w:t>
      </w:r>
      <w:bookmarkStart w:id="0" w:name="OLE_LINK13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ГБОУ </w:t>
      </w:r>
      <w:bookmarkEnd w:id="0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НАО «Детский са</w:t>
      </w:r>
      <w:proofErr w:type="gram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д-</w:t>
      </w:r>
      <w:proofErr w:type="gram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школа п. 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Бугрино</w:t>
      </w:r>
      <w:proofErr w:type="spell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</w:p>
    <w:p w:rsidR="000F35FD" w:rsidRPr="000F35FD" w:rsidRDefault="000F35FD" w:rsidP="000F35FD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ГБУЗ НАО "ЦРП ЗР НАО" «ФАП» </w:t>
      </w:r>
    </w:p>
    <w:p w:rsidR="000F35FD" w:rsidRPr="000F35FD" w:rsidRDefault="000F35FD" w:rsidP="000F35FD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Нарьян-марское</w:t>
      </w:r>
      <w:proofErr w:type="spell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ГОРПО  </w:t>
      </w:r>
    </w:p>
    <w:p w:rsidR="000F35FD" w:rsidRDefault="008D6203" w:rsidP="000F35FD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. ФГБУ "СЕВЕРНОЕ УГМС"</w:t>
      </w:r>
    </w:p>
    <w:p w:rsidR="008E0DDC" w:rsidRPr="000F35FD" w:rsidRDefault="008D6203" w:rsidP="008D620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6203">
        <w:rPr>
          <w:noProof/>
          <w:lang w:eastAsia="ru-RU"/>
        </w:rPr>
        <w:lastRenderedPageBreak/>
        <w:drawing>
          <wp:inline distT="0" distB="0" distL="0" distR="0" wp14:anchorId="200913E4" wp14:editId="174CE12E">
            <wp:extent cx="5939790" cy="4928210"/>
            <wp:effectExtent l="0" t="0" r="381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92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Администратором данного налога является Управление Федеральной налоговой службы по Архангельской области и Ненецкому автономному округу. </w:t>
      </w:r>
    </w:p>
    <w:p w:rsidR="000F35FD" w:rsidRPr="000F35FD" w:rsidRDefault="000F35FD" w:rsidP="000F35FD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В соответствии с пунктом 2 статьи 61.5 БК РФ </w:t>
      </w: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пошлина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совершение нотариальных действий должностными лицами органов местного самоуправления поселения, уполномоченными в соответствии с законодательными актами РФ на совершение нотариальных действий, зачисляется в бюджет поселения по нормативу 100,0%. </w:t>
      </w:r>
    </w:p>
    <w:p w:rsidR="000F35FD" w:rsidRPr="000F35FD" w:rsidRDefault="00E2683C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по государственной пошлине</w:t>
      </w:r>
      <w:r w:rsidR="000F35FD"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bookmarkStart w:id="1" w:name="OLE_LINK1"/>
      <w:bookmarkStart w:id="2" w:name="OLE_LINK2"/>
      <w:r w:rsidR="008D620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2024</w:t>
      </w:r>
      <w:r w:rsidR="001201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установлен в сумме 20</w:t>
      </w:r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proofErr w:type="gramStart"/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ожидаемое</w:t>
      </w:r>
      <w:proofErr w:type="gramEnd"/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1"/>
      <w:bookmarkEnd w:id="2"/>
      <w:r w:rsidR="008D620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поступлением за 2023 год 20</w:t>
      </w:r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F35FD" w:rsidRPr="000F35FD" w:rsidRDefault="000F35FD" w:rsidP="000F35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Государственная пошлина за совершение нотариальных действий поступает </w:t>
      </w:r>
      <w:proofErr w:type="gram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</w:t>
      </w:r>
      <w:proofErr w:type="gram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выданных доверенностей, за заверку копий документов. </w:t>
      </w:r>
      <w:r w:rsidR="008E0D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получением многих услуг через </w:t>
      </w:r>
      <w:proofErr w:type="spellStart"/>
      <w:r w:rsidR="008E0DDC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Госуслуги</w:t>
      </w:r>
      <w:proofErr w:type="spellEnd"/>
      <w:r w:rsidR="008E0D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сократились обращения граждан за </w:t>
      </w:r>
      <w:proofErr w:type="gramStart"/>
      <w:r w:rsidR="008E0DD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заверением документов</w:t>
      </w:r>
      <w:proofErr w:type="gramEnd"/>
      <w:r w:rsidR="008E0DD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Администратором данного источника доходов является Администрация МО «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Колгуевский</w:t>
      </w:r>
      <w:proofErr w:type="spell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НАО.</w:t>
      </w:r>
    </w:p>
    <w:p w:rsidR="000F35FD" w:rsidRPr="00D450E3" w:rsidRDefault="000F35FD" w:rsidP="00D450E3">
      <w:pPr>
        <w:tabs>
          <w:tab w:val="left" w:pos="103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</w:p>
    <w:p w:rsidR="000F35FD" w:rsidRPr="000F35FD" w:rsidRDefault="000F35FD" w:rsidP="000F35FD">
      <w:pPr>
        <w:tabs>
          <w:tab w:val="left" w:pos="103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Безвозмездные поступления </w:t>
      </w:r>
    </w:p>
    <w:p w:rsidR="000F35FD" w:rsidRPr="000F35FD" w:rsidRDefault="000F35FD" w:rsidP="000F35FD">
      <w:pPr>
        <w:tabs>
          <w:tab w:val="left" w:pos="103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F35FD" w:rsidRDefault="000F35FD" w:rsidP="000F35FD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Безвозмездные поступления составляют наибольшую долю в доходах бюджета МО «</w:t>
      </w:r>
      <w:proofErr w:type="spellStart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Колгуевский</w:t>
      </w:r>
      <w:proofErr w:type="spellEnd"/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НАО. В общей сумме запланированных дох</w:t>
      </w:r>
      <w:r w:rsidR="008D6203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одов за 2024 они составляют 97,4</w:t>
      </w:r>
      <w:r w:rsidR="00CD1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8D6203" w:rsidRDefault="008D6203" w:rsidP="000F35FD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0DF4" w:rsidRPr="000F35FD" w:rsidRDefault="00800DF4" w:rsidP="000F35FD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303E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</w:t>
      </w:r>
    </w:p>
    <w:tbl>
      <w:tblPr>
        <w:tblW w:w="8836" w:type="dxa"/>
        <w:tblInd w:w="93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2403"/>
        <w:gridCol w:w="1292"/>
        <w:gridCol w:w="1423"/>
        <w:gridCol w:w="1134"/>
        <w:gridCol w:w="1276"/>
        <w:gridCol w:w="1072"/>
        <w:gridCol w:w="62"/>
        <w:gridCol w:w="174"/>
      </w:tblGrid>
      <w:tr w:rsidR="0059303E" w:rsidTr="0059303E">
        <w:trPr>
          <w:gridBefore w:val="2"/>
          <w:wBefore w:w="3695" w:type="dxa"/>
          <w:trHeight w:val="70"/>
        </w:trPr>
        <w:tc>
          <w:tcPr>
            <w:tcW w:w="2557" w:type="dxa"/>
            <w:gridSpan w:val="2"/>
            <w:tcBorders>
              <w:left w:val="single" w:sz="4" w:space="0" w:color="auto"/>
            </w:tcBorders>
          </w:tcPr>
          <w:p w:rsid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gridSpan w:val="2"/>
            <w:tcBorders>
              <w:left w:val="single" w:sz="4" w:space="0" w:color="auto"/>
            </w:tcBorders>
          </w:tcPr>
          <w:p w:rsid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</w:tcPr>
          <w:p w:rsid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303E" w:rsidRPr="0059303E" w:rsidTr="0059303E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6"/>
          <w:wAfter w:w="5141" w:type="dxa"/>
          <w:trHeight w:val="70"/>
        </w:trPr>
        <w:tc>
          <w:tcPr>
            <w:tcW w:w="2403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измерения</w:t>
            </w:r>
          </w:p>
        </w:tc>
      </w:tr>
      <w:tr w:rsidR="0059303E" w:rsidRPr="0059303E" w:rsidTr="0059303E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4" w:type="dxa"/>
          <w:trHeight w:val="630"/>
        </w:trPr>
        <w:tc>
          <w:tcPr>
            <w:tcW w:w="240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</w:t>
            </w:r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</w:t>
            </w:r>
            <w:proofErr w:type="gramStart"/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</w:t>
            </w:r>
            <w:proofErr w:type="gramStart"/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</w:t>
            </w:r>
          </w:p>
        </w:tc>
      </w:tr>
      <w:tr w:rsidR="0059303E" w:rsidRPr="0059303E" w:rsidTr="0059303E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4" w:type="dxa"/>
          <w:trHeight w:val="315"/>
        </w:trPr>
        <w:tc>
          <w:tcPr>
            <w:tcW w:w="24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9303E" w:rsidRPr="0059303E" w:rsidRDefault="0059303E" w:rsidP="00593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30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9303E" w:rsidRPr="0059303E" w:rsidTr="0059303E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4" w:type="dxa"/>
          <w:trHeight w:val="375"/>
        </w:trPr>
        <w:tc>
          <w:tcPr>
            <w:tcW w:w="24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2,68</w:t>
            </w:r>
          </w:p>
        </w:tc>
      </w:tr>
      <w:tr w:rsidR="0059303E" w:rsidRPr="0059303E" w:rsidTr="0059303E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4" w:type="dxa"/>
          <w:trHeight w:val="465"/>
        </w:trPr>
        <w:tc>
          <w:tcPr>
            <w:tcW w:w="240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поступления, из них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21631,3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98,1</w:t>
            </w:r>
          </w:p>
        </w:tc>
      </w:tr>
      <w:tr w:rsidR="0059303E" w:rsidRPr="0059303E" w:rsidTr="0059303E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4" w:type="dxa"/>
          <w:trHeight w:val="300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5078,4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5926,2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18,6</w:t>
            </w:r>
          </w:p>
        </w:tc>
      </w:tr>
      <w:tr w:rsidR="0059303E" w:rsidRPr="0059303E" w:rsidTr="0059303E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4" w:type="dxa"/>
          <w:trHeight w:val="230"/>
        </w:trPr>
        <w:tc>
          <w:tcPr>
            <w:tcW w:w="2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303E" w:rsidRPr="0059303E" w:rsidTr="0059303E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4" w:type="dxa"/>
          <w:trHeight w:val="315"/>
        </w:trPr>
        <w:tc>
          <w:tcPr>
            <w:tcW w:w="24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9303E" w:rsidRPr="0059303E" w:rsidTr="0059303E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4" w:type="dxa"/>
          <w:trHeight w:val="330"/>
        </w:trPr>
        <w:tc>
          <w:tcPr>
            <w:tcW w:w="240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</w:tr>
      <w:tr w:rsidR="0059303E" w:rsidRPr="0059303E" w:rsidTr="0059303E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4" w:type="dxa"/>
          <w:trHeight w:val="465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15498,7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78,9</w:t>
            </w:r>
          </w:p>
        </w:tc>
      </w:tr>
      <w:tr w:rsidR="0059303E" w:rsidRPr="0059303E" w:rsidTr="0059303E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4" w:type="dxa"/>
          <w:trHeight w:val="15"/>
        </w:trPr>
        <w:tc>
          <w:tcPr>
            <w:tcW w:w="2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03E" w:rsidRPr="0059303E" w:rsidRDefault="0059303E" w:rsidP="00593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303E" w:rsidRPr="0059303E" w:rsidTr="0059303E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74" w:type="dxa"/>
          <w:trHeight w:val="315"/>
        </w:trPr>
        <w:tc>
          <w:tcPr>
            <w:tcW w:w="24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22216,3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303E" w:rsidRPr="0059303E" w:rsidRDefault="0059303E" w:rsidP="0059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9303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</w:tr>
    </w:tbl>
    <w:p w:rsidR="000F35FD" w:rsidRPr="000F35FD" w:rsidRDefault="000F35FD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</w:p>
    <w:p w:rsidR="000F35FD" w:rsidRPr="000F35FD" w:rsidRDefault="00800DF4" w:rsidP="000F35F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Дотация </w:t>
      </w:r>
      <w:r w:rsidRPr="00800D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бюджетам сельских поселений на выравнивание бюджетной обеспеченности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окружного бюджета запланирована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протокола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согласования Департамента финансов и экономики НАО. Дотация</w:t>
      </w:r>
      <w:r w:rsidRPr="008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0DF4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бюджетам сельских поселений на выравнивание бюджетной обеспеченности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иные межбюджетные трансферты на поддержку мер по обеспечению сбалансированности бюджетов поселений из районного бюджета з</w:t>
      </w:r>
      <w:r w:rsidR="00E56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апланированы согласно показателям предоставленным Управлением финансов МР ЗР. </w:t>
      </w:r>
      <w:r w:rsidR="0059303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2024</w:t>
      </w:r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запланировано иных межбюджетных трансфертов бюджету муниципального образования </w:t>
      </w:r>
      <w:r w:rsidR="00D450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21339,4</w:t>
      </w:r>
      <w:r w:rsidR="00E56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56FA7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="00E56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данных предоставлен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ных Управлением финансов </w:t>
      </w:r>
      <w:r w:rsidR="00E56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МР ЗР </w:t>
      </w:r>
      <w:r w:rsidR="00D450E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2023</w:t>
      </w:r>
      <w:r w:rsidR="000F35FD" w:rsidRPr="000F35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 Иные межбюджетные трансферты поступают в местный бюджет на основании заявки, составляемой по поступившим договорам, счетам, по фактическим затратам, согласно подписанным соглашениям.</w:t>
      </w:r>
    </w:p>
    <w:p w:rsidR="007C57CD" w:rsidRPr="00EC56BD" w:rsidRDefault="007C57CD" w:rsidP="00BA6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4B0" w:rsidRPr="002C14B0" w:rsidRDefault="008C7420" w:rsidP="002C14B0">
      <w:pPr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C14B0" w:rsidRPr="002C14B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Анализ исполнения бюджета поселения по расходам.</w:t>
      </w:r>
    </w:p>
    <w:p w:rsidR="002C14B0" w:rsidRPr="002C14B0" w:rsidRDefault="002C14B0" w:rsidP="002C14B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NewRomanPSMT" w:eastAsia="Times New Roman" w:hAnsi="TimesNewRomanPSMT" w:cs="TimesNewRomanPSMT"/>
          <w:sz w:val="26"/>
          <w:szCs w:val="26"/>
          <w:lang w:eastAsia="ru-RU"/>
        </w:rPr>
        <w:t xml:space="preserve">       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9118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часть местного бюджета на 2024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планируется в сумме </w:t>
      </w:r>
      <w:r w:rsidR="009118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22530,2</w:t>
      </w:r>
      <w:r w:rsidRPr="002C14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2C14B0" w:rsidRDefault="002C14B0" w:rsidP="002C14B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Наибольший удельный вес в общей сумме расходов за </w:t>
      </w:r>
      <w:r w:rsidR="00911851">
        <w:rPr>
          <w:rFonts w:ascii="Times New Roman" w:eastAsia="Times New Roman" w:hAnsi="Times New Roman" w:cs="Times New Roman"/>
          <w:sz w:val="26"/>
          <w:szCs w:val="26"/>
          <w:lang w:eastAsia="ru-RU"/>
        </w:rPr>
        <w:t>2024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занимают расходы по разделу 01 «Общегосударственные вопрос</w:t>
      </w:r>
      <w:r w:rsidR="0090501D">
        <w:rPr>
          <w:rFonts w:ascii="Times New Roman" w:eastAsia="Times New Roman" w:hAnsi="Times New Roman" w:cs="Times New Roman"/>
          <w:sz w:val="26"/>
          <w:szCs w:val="26"/>
          <w:lang w:eastAsia="ru-RU"/>
        </w:rPr>
        <w:t>ы», доля которых составляет 80,7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общей суммы расходов. Наименьший удельный вес в общей сумме расходов за 2020 года занимают расходы по разделу</w:t>
      </w:r>
      <w:r w:rsidR="009050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02 «Национальная оборона» - 0,7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% и по 03 «Национальная</w:t>
      </w:r>
      <w:r w:rsidRPr="002C1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безопасность и правоохранительная деятельность</w:t>
      </w:r>
      <w:r w:rsidR="00911851">
        <w:rPr>
          <w:rFonts w:ascii="Times New Roman" w:eastAsia="Times New Roman" w:hAnsi="Times New Roman" w:cs="Times New Roman"/>
          <w:sz w:val="26"/>
          <w:szCs w:val="26"/>
          <w:lang w:eastAsia="ru-RU"/>
        </w:rPr>
        <w:t>» - 0,5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8E0DDC" w:rsidRDefault="008E0DDC" w:rsidP="002C14B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7420" w:type="dxa"/>
        <w:tblInd w:w="93" w:type="dxa"/>
        <w:tblLook w:val="04A0" w:firstRow="1" w:lastRow="0" w:firstColumn="1" w:lastColumn="0" w:noHBand="0" w:noVBand="1"/>
      </w:tblPr>
      <w:tblGrid>
        <w:gridCol w:w="2543"/>
        <w:gridCol w:w="1292"/>
        <w:gridCol w:w="908"/>
        <w:gridCol w:w="880"/>
        <w:gridCol w:w="909"/>
        <w:gridCol w:w="888"/>
      </w:tblGrid>
      <w:tr w:rsidR="0090501D" w:rsidRPr="0090501D" w:rsidTr="0090501D">
        <w:trPr>
          <w:trHeight w:val="330"/>
        </w:trPr>
        <w:tc>
          <w:tcPr>
            <w:tcW w:w="25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186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90501D" w:rsidRPr="0090501D" w:rsidTr="0090501D">
        <w:trPr>
          <w:trHeight w:val="630"/>
        </w:trPr>
        <w:tc>
          <w:tcPr>
            <w:tcW w:w="25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</w:t>
            </w:r>
            <w:proofErr w:type="gramStart"/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</w:t>
            </w:r>
            <w:proofErr w:type="gramStart"/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</w:t>
            </w:r>
          </w:p>
        </w:tc>
      </w:tr>
      <w:tr w:rsidR="0090501D" w:rsidRPr="0090501D" w:rsidTr="0090501D">
        <w:trPr>
          <w:trHeight w:val="315"/>
        </w:trPr>
        <w:tc>
          <w:tcPr>
            <w:tcW w:w="25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0501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501D" w:rsidRPr="0090501D" w:rsidTr="0090501D">
        <w:trPr>
          <w:trHeight w:val="405"/>
        </w:trPr>
        <w:tc>
          <w:tcPr>
            <w:tcW w:w="258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17539,3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41,2</w:t>
            </w:r>
          </w:p>
        </w:tc>
        <w:tc>
          <w:tcPr>
            <w:tcW w:w="93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18188,5</w:t>
            </w:r>
          </w:p>
        </w:tc>
        <w:tc>
          <w:tcPr>
            <w:tcW w:w="92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80,7</w:t>
            </w:r>
          </w:p>
        </w:tc>
      </w:tr>
      <w:tr w:rsidR="0090501D" w:rsidRPr="0090501D" w:rsidTr="0090501D">
        <w:trPr>
          <w:trHeight w:val="230"/>
        </w:trPr>
        <w:tc>
          <w:tcPr>
            <w:tcW w:w="258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90501D" w:rsidRPr="0090501D" w:rsidTr="0090501D">
        <w:trPr>
          <w:trHeight w:val="450"/>
        </w:trPr>
        <w:tc>
          <w:tcPr>
            <w:tcW w:w="25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160,8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9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168,6</w:t>
            </w:r>
          </w:p>
        </w:tc>
        <w:tc>
          <w:tcPr>
            <w:tcW w:w="9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90501D" w:rsidRPr="0090501D" w:rsidTr="0090501D">
        <w:trPr>
          <w:trHeight w:val="230"/>
        </w:trPr>
        <w:tc>
          <w:tcPr>
            <w:tcW w:w="25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90501D" w:rsidRPr="0090501D" w:rsidTr="0090501D">
        <w:trPr>
          <w:trHeight w:val="645"/>
        </w:trPr>
        <w:tc>
          <w:tcPr>
            <w:tcW w:w="25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103,7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90501D" w:rsidRPr="0090501D" w:rsidTr="0090501D">
        <w:trPr>
          <w:trHeight w:val="450"/>
        </w:trPr>
        <w:tc>
          <w:tcPr>
            <w:tcW w:w="25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1023,3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313,9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90501D" w:rsidRPr="0090501D" w:rsidTr="0090501D">
        <w:trPr>
          <w:trHeight w:val="540"/>
        </w:trPr>
        <w:tc>
          <w:tcPr>
            <w:tcW w:w="258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21190,8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1149,5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</w:tr>
      <w:tr w:rsidR="0090501D" w:rsidRPr="0090501D" w:rsidTr="0090501D">
        <w:trPr>
          <w:trHeight w:val="315"/>
        </w:trPr>
        <w:tc>
          <w:tcPr>
            <w:tcW w:w="25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1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2538,1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11,6</w:t>
            </w:r>
          </w:p>
        </w:tc>
      </w:tr>
      <w:tr w:rsidR="0090501D" w:rsidRPr="0090501D" w:rsidTr="0090501D">
        <w:trPr>
          <w:trHeight w:val="315"/>
        </w:trPr>
        <w:tc>
          <w:tcPr>
            <w:tcW w:w="25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42551,2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22530,2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01D" w:rsidRPr="0090501D" w:rsidRDefault="0090501D" w:rsidP="0090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501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</w:t>
            </w:r>
          </w:p>
        </w:tc>
      </w:tr>
    </w:tbl>
    <w:p w:rsidR="002C14B0" w:rsidRPr="002C14B0" w:rsidRDefault="002C14B0" w:rsidP="002C14B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4B0" w:rsidRPr="002C14B0" w:rsidRDefault="002C14B0" w:rsidP="002C1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14B0" w:rsidRPr="00A109D2" w:rsidRDefault="002C14B0" w:rsidP="00A109D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="009F68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</w:t>
      </w: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Раздел 01 «Общегосударственные вопросы»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C14B0" w:rsidRPr="002C14B0" w:rsidRDefault="002C14B0" w:rsidP="002C1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Подраздел 01 02 «Функционирование высшего должностного лица субъекта Российской Федерации и муниципального образования»: 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запланирован</w:t>
      </w:r>
      <w:r w:rsidR="002A755B">
        <w:rPr>
          <w:rFonts w:ascii="Times New Roman" w:eastAsia="Times New Roman" w:hAnsi="Times New Roman" w:cs="Times New Roman"/>
          <w:sz w:val="26"/>
          <w:szCs w:val="26"/>
          <w:lang w:eastAsia="ru-RU"/>
        </w:rPr>
        <w:t>о бюджетных ассигнован</w:t>
      </w:r>
      <w:r w:rsidR="0090501D">
        <w:rPr>
          <w:rFonts w:ascii="Times New Roman" w:eastAsia="Times New Roman" w:hAnsi="Times New Roman" w:cs="Times New Roman"/>
          <w:sz w:val="26"/>
          <w:szCs w:val="26"/>
          <w:lang w:eastAsia="ru-RU"/>
        </w:rPr>
        <w:t>ий 3193,5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в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.: 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выплату зар</w:t>
      </w:r>
      <w:r w:rsidR="0090501D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аботной платы Главе МО – 2452,8</w:t>
      </w:r>
      <w:r w:rsidR="002A75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</w:p>
    <w:p w:rsidR="002C14B0" w:rsidRDefault="00A109D2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050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начислениям на ФОТ – 740,7</w:t>
      </w:r>
      <w:r w:rsidR="002A75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C14B0"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="002C14B0"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276E8" w:rsidRPr="002C14B0" w:rsidRDefault="008276E8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Ожидаемое исполнение за 2023 год 3175,8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., небольшой рост расходов связан с увеличением оплаты труда с 01.07.2023 на 1,055 раза.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Подраздел 01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2C14B0" w:rsidRPr="002C14B0" w:rsidRDefault="008276E8" w:rsidP="00272A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Запланировано на  2024</w:t>
      </w:r>
      <w:r w:rsidR="002A75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сумма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13041,5</w:t>
      </w:r>
      <w:r w:rsidR="002C14B0"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C14B0"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="002C14B0"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в </w:t>
      </w:r>
      <w:proofErr w:type="spellStart"/>
      <w:r w:rsidR="002C14B0"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="002C14B0"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2C14B0" w:rsidRPr="002C14B0" w:rsidRDefault="002C14B0" w:rsidP="002C14B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Иные межбюджетные тр</w:t>
      </w:r>
      <w:r w:rsidR="008276E8">
        <w:rPr>
          <w:rFonts w:ascii="Times New Roman" w:eastAsia="Times New Roman" w:hAnsi="Times New Roman" w:cs="Times New Roman"/>
          <w:sz w:val="26"/>
          <w:szCs w:val="26"/>
          <w:lang w:eastAsia="ru-RU"/>
        </w:rPr>
        <w:t>ансферты в рамках МП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"Возмещение части затрат на содержание органов местного самоуправления поселений Ненецкого автономного округа" </w:t>
      </w:r>
      <w:r w:rsidR="00270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установлен в сумме </w:t>
      </w:r>
      <w:r w:rsidR="00414063">
        <w:rPr>
          <w:rFonts w:ascii="Times New Roman" w:eastAsia="Times New Roman" w:hAnsi="Times New Roman" w:cs="Times New Roman"/>
          <w:sz w:val="26"/>
          <w:szCs w:val="26"/>
          <w:lang w:eastAsia="ru-RU"/>
        </w:rPr>
        <w:t>1213,1</w:t>
      </w:r>
      <w:r w:rsidR="00270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0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данной целевой статье отражены расходы по электроэнергии, приобретение твердого топлива (угля) и услуги по ТКО </w:t>
      </w:r>
      <w:r w:rsidR="00270E99" w:rsidRPr="00270E99">
        <w:rPr>
          <w:rFonts w:ascii="Times New Roman" w:eastAsia="Times New Roman" w:hAnsi="Times New Roman" w:cs="Times New Roman"/>
          <w:sz w:val="26"/>
          <w:szCs w:val="26"/>
          <w:lang w:eastAsia="ru-RU"/>
        </w:rPr>
        <w:t>здания администрации</w:t>
      </w:r>
    </w:p>
    <w:p w:rsidR="002C14B0" w:rsidRDefault="002C14B0" w:rsidP="00D35FFF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муниципального образования </w:t>
      </w:r>
      <w:r w:rsidR="00A109D2">
        <w:rPr>
          <w:rFonts w:ascii="Times New Roman" w:eastAsia="Times New Roman" w:hAnsi="Times New Roman" w:cs="Times New Roman"/>
          <w:sz w:val="26"/>
          <w:szCs w:val="26"/>
          <w:lang w:eastAsia="ru-RU"/>
        </w:rPr>
        <w:t>– план</w:t>
      </w:r>
      <w:r w:rsidR="004163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 в сумме 11828,4</w:t>
      </w:r>
      <w:r w:rsidR="00270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Средства направлены на текущую деятельность администрации, расходы по подразделу 0104 приведены </w:t>
      </w:r>
      <w:r w:rsidR="00272A6D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кодов КОСГУ в приложены в обосновании бюджетных ассигнований по подразделу 0104</w:t>
      </w:r>
      <w:r w:rsidR="00D35FF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71708B" w:rsidRDefault="0071708B" w:rsidP="0071708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сравнению с утвержденными бюджетными ассигнованиями в 2023 году вырастут расходы по заработной плате на 1208,5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в связи увеличением МРОТ с 01.01.2024 на 18,5 % и повышением оплаты труда на 1,055 раза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01.07.2023. </w:t>
      </w:r>
    </w:p>
    <w:p w:rsidR="007A63BB" w:rsidRDefault="0071708B" w:rsidP="0071708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 по страховым взносам увеличатся на 203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678D8" w:rsidRDefault="0071708B" w:rsidP="0071708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Уменьшаются расходы по основным средствам и материальным запасам</w:t>
      </w:r>
      <w:r w:rsidR="006678D8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связи приобретением в 2023 году спецодежды для рабочего персонала и отсутствием необходимости в обновлении оргтехники.</w:t>
      </w:r>
    </w:p>
    <w:p w:rsidR="0071708B" w:rsidRDefault="006678D8" w:rsidP="0071708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Уменьшение расходов по налогу на имущество по причине перечисления авансового платежа за 2023 год в декабре 2023 года.</w:t>
      </w:r>
      <w:bookmarkStart w:id="3" w:name="_GoBack"/>
      <w:bookmarkEnd w:id="3"/>
      <w:r w:rsidR="007170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708B" w:rsidRPr="0071708B" w:rsidRDefault="0071708B" w:rsidP="0071708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08B" w:rsidRDefault="0071708B" w:rsidP="0071708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08B">
        <w:lastRenderedPageBreak/>
        <w:drawing>
          <wp:inline distT="0" distB="0" distL="0" distR="0" wp14:anchorId="627327E4" wp14:editId="76CE4578">
            <wp:extent cx="5939790" cy="4955249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955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A6D" w:rsidRPr="00D35FFF" w:rsidRDefault="00272A6D" w:rsidP="00272A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Подраздел 01 06 «Обеспечение деятельности финансовых, налоговых и таможенных органов и органов надзора»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запланировано бюдже</w:t>
      </w:r>
      <w:r w:rsidR="000532B8">
        <w:rPr>
          <w:rFonts w:ascii="Times New Roman" w:eastAsia="Times New Roman" w:hAnsi="Times New Roman" w:cs="Times New Roman"/>
          <w:sz w:val="26"/>
          <w:szCs w:val="26"/>
          <w:lang w:eastAsia="ru-RU"/>
        </w:rPr>
        <w:t>тных ассигнований  в сумме 560,9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данному подразделу отражены расходы на обеспечение исполнения переданных полномочий контрольно-счетного органа поселения. Иные межбюджетные трансферты в соответствии с заключенным соглашением с Контрольно-счетной палатой МР «Заполярный район» на осуществление полномочий по внешнему финансовому контролю.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4B0" w:rsidRPr="002C14B0" w:rsidRDefault="002C14B0" w:rsidP="002C1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Подраздел 01 11 «Резервный фонд»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запланирован</w:t>
      </w:r>
      <w:r w:rsidR="001B25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бюджетных </w:t>
      </w:r>
      <w:r w:rsidR="000532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ассигнований 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5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в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Бюджетные ассигнования предусмотрены по целевой статье «Резервный фонд администрации».</w:t>
      </w:r>
      <w:r w:rsidRPr="002C14B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Расходование средств резервного фонда осуществляется согласно «Порядка расходования средств резервного фонда Администрации МО «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Колгуевский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НАО» утвержденного постановление от 11.03.2010 №2-п. </w:t>
      </w:r>
    </w:p>
    <w:p w:rsidR="002C14B0" w:rsidRPr="002C14B0" w:rsidRDefault="002C14B0" w:rsidP="002C14B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</w:t>
      </w:r>
    </w:p>
    <w:p w:rsidR="002C14B0" w:rsidRPr="002C14B0" w:rsidRDefault="002C14B0" w:rsidP="002C1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4B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Подраздел 01 13 «Другие общегосударственные вопросы»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запланировано бюджет</w:t>
      </w:r>
      <w:r w:rsidR="00D06E82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</w:t>
      </w:r>
      <w:r w:rsidR="000532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ассигнований 1058,6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., в том числе:</w:t>
      </w:r>
    </w:p>
    <w:p w:rsidR="002C14B0" w:rsidRPr="002C14B0" w:rsidRDefault="002C14B0" w:rsidP="00153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* Иные межбюджетные тр</w:t>
      </w:r>
      <w:r w:rsidR="000532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ансферты в рамках муниципальной программы 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"Возмещение части затрат на содержание органов местного самоуправления поселений Ненецкого автономного округа" </w:t>
      </w:r>
      <w:r w:rsidR="00AD2F5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запланированы в сумме 560,8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 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данной целевой статье отражаются расходы по оплате коммунальных услуг (электроэнергии) вертолетной площадки. 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* Субвенция в сфере админ</w:t>
      </w:r>
      <w:r w:rsidR="00AD2F5E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истративных правонарушений запланирована в сумме 37,8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 Средства выделяются из окружного бюджета. По данному подразделу отражаются расходы по оплате услуг связи и на приобретение материальных запасов</w:t>
      </w:r>
      <w:r w:rsidR="00AD2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административной комиссии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* Администрация МО «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Колгуевский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НАО состоит в Ассоциации «Совет МО НАО» и ежегодно перечисляет членские взносы. В свою очередь Ассоциация «Совет МО НАО» оказывает консультационные услуги и помощь в разработке и составлении но</w:t>
      </w:r>
      <w:r w:rsidR="00AD2F5E">
        <w:rPr>
          <w:rFonts w:ascii="Times New Roman" w:eastAsia="Times New Roman" w:hAnsi="Times New Roman" w:cs="Times New Roman"/>
          <w:sz w:val="26"/>
          <w:szCs w:val="26"/>
          <w:lang w:eastAsia="ru-RU"/>
        </w:rPr>
        <w:t>рмативно-правовых актов.</w:t>
      </w:r>
      <w:r w:rsidR="002720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Расходы за 2023 год по оплате взносов 200 </w:t>
      </w:r>
      <w:proofErr w:type="spellStart"/>
      <w:r w:rsidR="002720C1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="002720C1">
        <w:rPr>
          <w:rFonts w:ascii="Times New Roman" w:eastAsia="Times New Roman" w:hAnsi="Times New Roman" w:cs="Times New Roman"/>
          <w:sz w:val="26"/>
          <w:szCs w:val="26"/>
          <w:lang w:eastAsia="ru-RU"/>
        </w:rPr>
        <w:t>., н</w:t>
      </w:r>
      <w:r w:rsidR="00AD2F5E">
        <w:rPr>
          <w:rFonts w:ascii="Times New Roman" w:eastAsia="Times New Roman" w:hAnsi="Times New Roman" w:cs="Times New Roman"/>
          <w:sz w:val="26"/>
          <w:szCs w:val="26"/>
          <w:lang w:eastAsia="ru-RU"/>
        </w:rPr>
        <w:t>а 2024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членские взносы в Ассоциацию «Совета М</w:t>
      </w:r>
      <w:r w:rsidR="00AD2F5E">
        <w:rPr>
          <w:rFonts w:ascii="Times New Roman" w:eastAsia="Times New Roman" w:hAnsi="Times New Roman" w:cs="Times New Roman"/>
          <w:sz w:val="26"/>
          <w:szCs w:val="26"/>
          <w:lang w:eastAsia="ru-RU"/>
        </w:rPr>
        <w:t>О НАО» запланированы в сумме 46</w:t>
      </w:r>
      <w:r w:rsidR="001B2570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AD2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,0 </w:t>
      </w:r>
      <w:proofErr w:type="spellStart"/>
      <w:r w:rsidR="00AD2F5E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="00AD2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r w:rsidR="002720C1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информационному письму</w:t>
      </w:r>
      <w:r w:rsidR="00AD2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20C1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Ассоциации МО НАО от 11.08.2023 №92.</w:t>
      </w:r>
    </w:p>
    <w:p w:rsidR="002C14B0" w:rsidRPr="002C14B0" w:rsidRDefault="008E0DDC" w:rsidP="008E0D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2C14B0"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</w:t>
      </w:r>
    </w:p>
    <w:p w:rsidR="002C14B0" w:rsidRDefault="002C14B0" w:rsidP="002C1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02 «Национальная оборона»</w:t>
      </w:r>
    </w:p>
    <w:p w:rsidR="00ED7072" w:rsidRPr="002C14B0" w:rsidRDefault="00ED7072" w:rsidP="002C1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14B0" w:rsidRPr="002C14B0" w:rsidRDefault="002C14B0" w:rsidP="002C14B0">
      <w:pPr>
        <w:tabs>
          <w:tab w:val="left" w:pos="301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 по разделу </w:t>
      </w:r>
      <w:r w:rsidRPr="002C14B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02 «Национальная оборона»</w:t>
      </w:r>
      <w:r w:rsidR="001B25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3F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запланированы в сумме 168,6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2C14B0" w:rsidRPr="002C14B0" w:rsidRDefault="002C14B0" w:rsidP="002C14B0">
      <w:pPr>
        <w:tabs>
          <w:tab w:val="left" w:pos="301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подразделу 02 03 «Мобилизационная и вневойсковая подготовка» 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Pr="002C14B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осуществление воинского учета на территориях, где отсутствуют военные комиссариаты, за счет средств федераль</w:t>
      </w:r>
      <w:r w:rsidR="00D06E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ного бюджета </w:t>
      </w:r>
      <w:r w:rsidR="001B25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610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запланировано 168,6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 Расходы по подразделу 0203 приведены в разрезе кодов КОСГУ в таблице:</w:t>
      </w:r>
    </w:p>
    <w:p w:rsidR="002C14B0" w:rsidRPr="002C14B0" w:rsidRDefault="002C14B0" w:rsidP="002C14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5776" w:type="dxa"/>
        <w:tblInd w:w="108" w:type="dxa"/>
        <w:tblLook w:val="04A0" w:firstRow="1" w:lastRow="0" w:firstColumn="1" w:lastColumn="0" w:noHBand="0" w:noVBand="1"/>
      </w:tblPr>
      <w:tblGrid>
        <w:gridCol w:w="499"/>
        <w:gridCol w:w="3271"/>
        <w:gridCol w:w="988"/>
        <w:gridCol w:w="1018"/>
      </w:tblGrid>
      <w:tr w:rsidR="002C14B0" w:rsidRPr="002C14B0" w:rsidTr="002C14B0">
        <w:trPr>
          <w:trHeight w:val="51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КОСГУ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</w:tr>
      <w:tr w:rsidR="002C14B0" w:rsidRPr="002C14B0" w:rsidTr="002C14B0">
        <w:trPr>
          <w:trHeight w:val="31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Заработная плата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4A610C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138,5</w:t>
            </w:r>
          </w:p>
        </w:tc>
      </w:tr>
      <w:tr w:rsidR="002C14B0" w:rsidRPr="002C14B0" w:rsidTr="002C14B0">
        <w:trPr>
          <w:trHeight w:val="31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оплату труда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4A610C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</w:t>
            </w:r>
          </w:p>
        </w:tc>
      </w:tr>
      <w:tr w:rsidR="002C14B0" w:rsidRPr="002C14B0" w:rsidTr="002C14B0">
        <w:trPr>
          <w:trHeight w:val="31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содержанию имущества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C14B0" w:rsidRPr="002C14B0" w:rsidTr="002C14B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мат.  запасов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4A610C" w:rsidP="004A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C14B0" w:rsidRPr="002C14B0" w:rsidTr="002C14B0">
        <w:trPr>
          <w:trHeight w:val="2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расходов: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2C14B0" w:rsidP="002C1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B0" w:rsidRPr="002C14B0" w:rsidRDefault="004A610C" w:rsidP="002C1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168,6</w:t>
            </w:r>
          </w:p>
        </w:tc>
      </w:tr>
    </w:tbl>
    <w:p w:rsidR="002C14B0" w:rsidRDefault="002C14B0" w:rsidP="002C14B0">
      <w:pPr>
        <w:tabs>
          <w:tab w:val="left" w:pos="301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D7072" w:rsidRDefault="000D3B69" w:rsidP="002C14B0">
      <w:pPr>
        <w:tabs>
          <w:tab w:val="left" w:pos="301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3B6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приложением 1 приказа</w:t>
      </w:r>
      <w:r w:rsidRPr="000D3B6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D3B69">
        <w:rPr>
          <w:rFonts w:ascii="Times New Roman" w:eastAsia="Times New Roman" w:hAnsi="Times New Roman" w:cs="Times New Roman"/>
          <w:sz w:val="26"/>
          <w:szCs w:val="26"/>
          <w:lang w:eastAsia="ru-RU"/>
        </w:rPr>
        <w:t>Аппарата Администрации Ненецкого автономного округа от 25.12.2018 № 61 к</w:t>
      </w:r>
      <w:r w:rsidR="003439B4">
        <w:rPr>
          <w:rFonts w:ascii="Times New Roman" w:eastAsia="Times New Roman" w:hAnsi="Times New Roman" w:cs="Times New Roman"/>
          <w:sz w:val="26"/>
          <w:szCs w:val="26"/>
          <w:lang w:eastAsia="ru-RU"/>
        </w:rPr>
        <w:t>оэффициент рабочего времени работника</w:t>
      </w:r>
      <w:r w:rsidRPr="000D3B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439B4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осуществляющего</w:t>
      </w:r>
      <w:r w:rsidRPr="000D3B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работу по во</w:t>
      </w:r>
      <w:r w:rsidR="003439B4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инскому учету в Администрации СП «</w:t>
      </w:r>
      <w:proofErr w:type="spellStart"/>
      <w:r w:rsidR="003439B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Колгуевский</w:t>
      </w:r>
      <w:proofErr w:type="spellEnd"/>
      <w:r w:rsidR="003439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ЗР НАО</w:t>
      </w:r>
      <w:r w:rsidRPr="000D3B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совместительству</w:t>
      </w:r>
      <w:r w:rsidR="003439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0,2. Оплата труда рассчитывается </w:t>
      </w:r>
      <w:proofErr w:type="gramStart"/>
      <w:r w:rsidR="003439B4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3439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установленного МРОТ.</w:t>
      </w:r>
    </w:p>
    <w:p w:rsidR="003439B4" w:rsidRPr="002C14B0" w:rsidRDefault="003439B4" w:rsidP="002C14B0">
      <w:pPr>
        <w:tabs>
          <w:tab w:val="left" w:pos="301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14B0" w:rsidRPr="002C14B0" w:rsidRDefault="008E0DDC" w:rsidP="008E0DD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</w:t>
      </w:r>
      <w:r w:rsidR="002C14B0"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03 «Национальная безопасность и</w:t>
      </w:r>
    </w:p>
    <w:p w:rsidR="002C14B0" w:rsidRPr="002C14B0" w:rsidRDefault="002C14B0" w:rsidP="002C1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правоохранительная деятельность»</w:t>
      </w:r>
    </w:p>
    <w:p w:rsidR="002C14B0" w:rsidRPr="002C14B0" w:rsidRDefault="002C14B0" w:rsidP="002C1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 по разделу </w:t>
      </w:r>
      <w:r w:rsidRPr="002C14B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03 «Национальная безопасность и правоохранительная деятельность»</w:t>
      </w: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D3B6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запланированы в сумме 103,7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D297F" w:rsidRPr="007D297F" w:rsidRDefault="007D297F" w:rsidP="007D297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подразделу </w:t>
      </w:r>
      <w:r w:rsidRPr="007D2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03 10 «Защита населения и территории от чрезвычайных ситуаций природного и техногенного характера, гражданская оборона, пожарная безопасность»</w:t>
      </w:r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Иные межбюджетные </w:t>
      </w:r>
      <w:proofErr w:type="spellStart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трасферты</w:t>
      </w:r>
      <w:proofErr w:type="spellEnd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МП "Безопасность на территории муниципального района "Заполярный район" на 2019-2030 годы"- Предупреждение и ликвидация последствий ЧС в границах поселений муниципальных образований</w:t>
      </w:r>
      <w:proofErr w:type="gramStart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proofErr w:type="gramEnd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апланировано </w:t>
      </w:r>
      <w:r w:rsidR="003439B4">
        <w:rPr>
          <w:rFonts w:ascii="Times New Roman" w:eastAsia="Times New Roman" w:hAnsi="Times New Roman" w:cs="Times New Roman"/>
          <w:sz w:val="26"/>
          <w:szCs w:val="26"/>
          <w:lang w:eastAsia="ru-RU"/>
        </w:rPr>
        <w:t>90,5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D297F" w:rsidRPr="007D297F" w:rsidRDefault="007D297F" w:rsidP="007D297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подразделу </w:t>
      </w:r>
      <w:r w:rsidRPr="007D2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03 14 «Защита населения и территории от чрезвычайных ситуаций природного и техногенного характера, гражданская оборона», </w:t>
      </w:r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Иные межбюджетные </w:t>
      </w:r>
      <w:proofErr w:type="spellStart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траснферты</w:t>
      </w:r>
      <w:proofErr w:type="spellEnd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МП "Безопасность на территории </w:t>
      </w:r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муниципального района "Заполярный район" на 2019-2030 годы</w:t>
      </w:r>
      <w:proofErr w:type="gramStart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>"-</w:t>
      </w:r>
      <w:proofErr w:type="gramEnd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 обучения неработающего населения в области гражданской обороны и защиты от чрезвычайных ситуаций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запланировано </w:t>
      </w:r>
      <w:r w:rsidR="003439B4">
        <w:rPr>
          <w:rFonts w:ascii="Times New Roman" w:eastAsia="Times New Roman" w:hAnsi="Times New Roman" w:cs="Times New Roman"/>
          <w:sz w:val="26"/>
          <w:szCs w:val="26"/>
          <w:lang w:eastAsia="ru-RU"/>
        </w:rPr>
        <w:t>13,2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14B0" w:rsidRPr="002C14B0" w:rsidRDefault="002C14B0" w:rsidP="002C14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4B0" w:rsidRPr="002C14B0" w:rsidRDefault="002C14B0" w:rsidP="002C1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04 «Национальная экономика»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Расходы по разделу 04 «Национальная экономика» запланированы в сумме 313,9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подразделу 04 09 «Дорожное хозяйство (дорожные фонды)» средства выделены </w:t>
      </w:r>
      <w:proofErr w:type="gram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D297F" w:rsidRDefault="002C14B0" w:rsidP="007D29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2C14B0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- Дорожный фонд муниципального образования, на сумму 313,9 </w:t>
      </w:r>
      <w:proofErr w:type="spellStart"/>
      <w:r w:rsidRPr="002C14B0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.</w:t>
      </w:r>
    </w:p>
    <w:p w:rsidR="007D297F" w:rsidRPr="007D297F" w:rsidRDefault="007D297F" w:rsidP="007D29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7D297F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В Едином государственном реестре недвижимости автомобильная дорога «</w:t>
      </w:r>
      <w:proofErr w:type="spellStart"/>
      <w:r w:rsidRPr="007D297F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п</w:t>
      </w:r>
      <w:proofErr w:type="gramStart"/>
      <w:r w:rsidRPr="007D297F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.Б</w:t>
      </w:r>
      <w:proofErr w:type="gramEnd"/>
      <w:r w:rsidRPr="007D297F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угрино</w:t>
      </w:r>
      <w:proofErr w:type="spellEnd"/>
      <w:r w:rsidRPr="007D297F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-причал» протяженностью 1260 м снята с кадастрового учета 25 июня 2019 года. Формирование средств дорожного фонда и направления использования производится согласно «Порядка формирования и использования бюджетных ассигнований дорожного фонда муниципального образования «</w:t>
      </w:r>
      <w:proofErr w:type="spellStart"/>
      <w:r w:rsidRPr="007D297F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Колгуевский</w:t>
      </w:r>
      <w:proofErr w:type="spellEnd"/>
      <w:r w:rsidRPr="007D297F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сельсовет» НАО» утвержденного Решением СД от 24.03.2017 № 1.</w:t>
      </w:r>
      <w:r w:rsidR="00E3634F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D030DA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Расходов в 2023 году по дорожному фонду не было согласно </w:t>
      </w:r>
      <w:proofErr w:type="gramStart"/>
      <w:r w:rsidR="00D030DA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п</w:t>
      </w:r>
      <w:proofErr w:type="gramEnd"/>
      <w:r w:rsidR="00D030DA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5 статьи 179.4 БК  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4B0" w:rsidRPr="002C14B0" w:rsidRDefault="002C14B0" w:rsidP="002C1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05 «Жилищно-коммунальное хозяйство»</w:t>
      </w:r>
    </w:p>
    <w:p w:rsidR="002C14B0" w:rsidRPr="002C14B0" w:rsidRDefault="002C14B0" w:rsidP="002C14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По разделу </w:t>
      </w:r>
      <w:r w:rsidRPr="002C14B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05 «Жилищно-коммунальное хозяйство»</w:t>
      </w:r>
      <w:r w:rsidR="00D030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запланировано 1149,5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 данному разделу бюджетные ассигнования предусмотрены </w:t>
      </w:r>
      <w:r w:rsidR="00B70B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соглашениям 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программные мероприятия МР З</w:t>
      </w:r>
      <w:r w:rsidR="007D297F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аполярный район</w:t>
      </w:r>
      <w:r w:rsidR="00B70B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Бюджетные ассигнования поступают по заявке составляемой согласно фактическим расходам. </w:t>
      </w:r>
      <w:proofErr w:type="gram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</w:t>
      </w:r>
      <w:proofErr w:type="gram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назначений представлены в таблице:</w:t>
      </w:r>
    </w:p>
    <w:p w:rsidR="002C14B0" w:rsidRPr="00A06A34" w:rsidRDefault="002C14B0" w:rsidP="00A06A34">
      <w:pPr>
        <w:spacing w:after="0" w:line="240" w:lineRule="auto"/>
        <w:ind w:left="113" w:right="-2" w:firstLine="59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(тыс. рублей)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64"/>
        <w:gridCol w:w="1417"/>
      </w:tblGrid>
      <w:tr w:rsidR="002C14B0" w:rsidRPr="002C14B0" w:rsidTr="002C14B0">
        <w:trPr>
          <w:trHeight w:val="270"/>
        </w:trPr>
        <w:tc>
          <w:tcPr>
            <w:tcW w:w="83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</w:tcPr>
          <w:p w:rsidR="002C14B0" w:rsidRPr="002C14B0" w:rsidRDefault="002C14B0" w:rsidP="002C1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2C14B0" w:rsidRPr="002C14B0" w:rsidRDefault="002C14B0" w:rsidP="002C1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C14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0502 Коммунальное хозяйство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14B0" w:rsidRPr="002C14B0" w:rsidRDefault="00B84761" w:rsidP="002C1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134,4</w:t>
            </w:r>
          </w:p>
        </w:tc>
      </w:tr>
      <w:tr w:rsidR="002C14B0" w:rsidRPr="002C14B0" w:rsidTr="002C14B0">
        <w:trPr>
          <w:trHeight w:val="76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C14B0" w:rsidRPr="002C14B0" w:rsidRDefault="002C14B0" w:rsidP="007D29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14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межбюджетные трансферты в рамках Муниципальной программы «Развитие коммунальной инфраструктуры муниципального района «Заполярный район» на 2020-2030 годы» - </w:t>
            </w:r>
            <w:r w:rsidR="007D297F" w:rsidRPr="007D29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14B0" w:rsidRPr="002C14B0" w:rsidRDefault="00A06A34" w:rsidP="002C1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141,0</w:t>
            </w:r>
          </w:p>
        </w:tc>
      </w:tr>
      <w:tr w:rsidR="002C14B0" w:rsidRPr="002C14B0" w:rsidTr="002C14B0">
        <w:trPr>
          <w:trHeight w:val="25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C14B0" w:rsidRPr="002C14B0" w:rsidRDefault="002C14B0" w:rsidP="002C1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C14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0503 Благоустройство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14B0" w:rsidRPr="002C14B0" w:rsidRDefault="00A06A34" w:rsidP="002C1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948,6</w:t>
            </w:r>
          </w:p>
        </w:tc>
      </w:tr>
      <w:tr w:rsidR="002C14B0" w:rsidRPr="002C14B0" w:rsidTr="0060046D">
        <w:trPr>
          <w:trHeight w:val="113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2C14B0" w:rsidRPr="002C14B0" w:rsidRDefault="002C14B0" w:rsidP="002C14B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</w:pPr>
            <w:r w:rsidRPr="002C14B0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годы"- Благоустройство территорий поселений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14B0" w:rsidRPr="002C14B0" w:rsidRDefault="00A06A34" w:rsidP="002C1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</w:t>
            </w:r>
          </w:p>
        </w:tc>
      </w:tr>
      <w:tr w:rsidR="002C14B0" w:rsidRPr="002C14B0" w:rsidTr="0060046D">
        <w:trPr>
          <w:trHeight w:val="111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2C14B0" w:rsidRPr="002C14B0" w:rsidRDefault="002C14B0" w:rsidP="002C14B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</w:pPr>
            <w:r w:rsidRPr="002C14B0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</w:t>
            </w:r>
            <w:proofErr w:type="gramStart"/>
            <w:r w:rsidRPr="002C14B0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"-</w:t>
            </w:r>
            <w:proofErr w:type="gramEnd"/>
            <w:r w:rsidRPr="002C14B0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14B0" w:rsidRPr="002C14B0" w:rsidRDefault="00A06A34" w:rsidP="002C1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746,6</w:t>
            </w:r>
          </w:p>
        </w:tc>
      </w:tr>
      <w:tr w:rsidR="002C14B0" w:rsidRPr="002C14B0" w:rsidTr="002C14B0">
        <w:trPr>
          <w:trHeight w:val="51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C14B0" w:rsidRPr="002C14B0" w:rsidRDefault="002C14B0" w:rsidP="002C14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C14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0505 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14B0" w:rsidRPr="002C14B0" w:rsidRDefault="00A06A34" w:rsidP="002C14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59,9</w:t>
            </w:r>
          </w:p>
        </w:tc>
      </w:tr>
      <w:tr w:rsidR="002C14B0" w:rsidRPr="002C14B0" w:rsidTr="002C14B0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2C14B0" w:rsidRPr="002C14B0" w:rsidRDefault="002C14B0" w:rsidP="002C14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14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организацию ритуальных услуг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06A34" w:rsidRPr="00B70BB4" w:rsidRDefault="00A06A34" w:rsidP="00A06A3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59,9</w:t>
            </w:r>
          </w:p>
        </w:tc>
      </w:tr>
      <w:tr w:rsidR="002C14B0" w:rsidRPr="002C14B0" w:rsidTr="002C14B0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C14B0" w:rsidRPr="002C14B0" w:rsidRDefault="002C14B0" w:rsidP="002C14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14B0" w:rsidRPr="002C14B0" w:rsidRDefault="002C14B0" w:rsidP="002C1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C14B0" w:rsidRPr="002C14B0" w:rsidTr="002C14B0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2C14B0" w:rsidRPr="002C14B0" w:rsidRDefault="002C14B0" w:rsidP="002C14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14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 Жилищно-коммунальное хозяйство: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14B0" w:rsidRPr="002C14B0" w:rsidRDefault="00A06A34" w:rsidP="002C1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1149,5</w:t>
            </w:r>
          </w:p>
        </w:tc>
      </w:tr>
      <w:tr w:rsidR="002C14B0" w:rsidRPr="002C14B0" w:rsidTr="002C14B0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C14B0" w:rsidRPr="002C14B0" w:rsidRDefault="002C14B0" w:rsidP="002C14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14B0" w:rsidRPr="002C14B0" w:rsidRDefault="002C14B0" w:rsidP="002C14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F84679" w:rsidRPr="00F84679" w:rsidRDefault="00F84679" w:rsidP="00F8467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  <w:lang w:eastAsia="zh-CN"/>
        </w:rPr>
      </w:pPr>
    </w:p>
    <w:p w:rsidR="00F84679" w:rsidRPr="00F84679" w:rsidRDefault="00F84679" w:rsidP="00F84679">
      <w:pPr>
        <w:suppressAutoHyphens/>
        <w:autoSpaceDE w:val="0"/>
        <w:spacing w:after="0" w:line="240" w:lineRule="auto"/>
        <w:rPr>
          <w:rFonts w:ascii="Calibri" w:eastAsia="Times New Roman" w:hAnsi="Calibri" w:cs="Calibri"/>
          <w:lang w:eastAsia="zh-CN"/>
        </w:rPr>
      </w:pPr>
      <w:r w:rsidRPr="00F8467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Подраздел 05 02 «Коммунальное хозяйство».</w:t>
      </w:r>
    </w:p>
    <w:p w:rsidR="00F84679" w:rsidRPr="00F84679" w:rsidRDefault="00A06A34" w:rsidP="00F84679">
      <w:pPr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план на 2024 год установлен 141</w:t>
      </w:r>
      <w:r w:rsidR="00F84679"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proofErr w:type="spellStart"/>
      <w:r w:rsidR="00F84679"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>т.р</w:t>
      </w:r>
      <w:proofErr w:type="spellEnd"/>
      <w:r w:rsidR="00F84679"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., в </w:t>
      </w:r>
      <w:proofErr w:type="spellStart"/>
      <w:r w:rsidR="00F84679"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>т.ч</w:t>
      </w:r>
      <w:proofErr w:type="spellEnd"/>
      <w:r w:rsidR="00F84679"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>.:</w:t>
      </w:r>
    </w:p>
    <w:p w:rsidR="00F84679" w:rsidRPr="008E0DDC" w:rsidRDefault="00F84679" w:rsidP="008E0DDC">
      <w:pPr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- </w:t>
      </w:r>
      <w:r w:rsidRPr="00F84679">
        <w:rPr>
          <w:rFonts w:ascii="Times New Roman" w:eastAsia="Times New Roman" w:hAnsi="Times New Roman" w:cs="Times New Roman"/>
          <w:iCs/>
          <w:sz w:val="26"/>
          <w:szCs w:val="26"/>
          <w:lang w:eastAsia="zh-CN"/>
        </w:rPr>
        <w:t xml:space="preserve">Иные межбюджетные трансферты в рамках Муниципальной программы "Развитие коммунальной инфраструктуры муниципального района «Заполярный </w:t>
      </w:r>
      <w:r w:rsidRPr="00F84679">
        <w:rPr>
          <w:rFonts w:ascii="Times New Roman" w:eastAsia="Times New Roman" w:hAnsi="Times New Roman" w:cs="Times New Roman"/>
          <w:iCs/>
          <w:sz w:val="26"/>
          <w:szCs w:val="26"/>
          <w:lang w:eastAsia="zh-CN"/>
        </w:rPr>
        <w:lastRenderedPageBreak/>
        <w:t>район» на 2020-2030 годы"- 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отходов, з</w:t>
      </w:r>
      <w:r w:rsidR="00A06A34">
        <w:rPr>
          <w:rFonts w:ascii="Times New Roman" w:eastAsia="Times New Roman" w:hAnsi="Times New Roman" w:cs="Times New Roman"/>
          <w:iCs/>
          <w:sz w:val="26"/>
          <w:szCs w:val="26"/>
          <w:lang w:eastAsia="zh-CN"/>
        </w:rPr>
        <w:t>апланировано 141</w:t>
      </w:r>
      <w:r w:rsidRPr="00F84679">
        <w:rPr>
          <w:rFonts w:ascii="Times New Roman" w:eastAsia="Times New Roman" w:hAnsi="Times New Roman" w:cs="Times New Roman"/>
          <w:iCs/>
          <w:sz w:val="26"/>
          <w:szCs w:val="26"/>
          <w:lang w:eastAsia="zh-CN"/>
        </w:rPr>
        <w:t xml:space="preserve"> </w:t>
      </w:r>
      <w:proofErr w:type="spellStart"/>
      <w:r w:rsidRPr="00F84679">
        <w:rPr>
          <w:rFonts w:ascii="Times New Roman" w:eastAsia="Times New Roman" w:hAnsi="Times New Roman" w:cs="Times New Roman"/>
          <w:iCs/>
          <w:sz w:val="26"/>
          <w:szCs w:val="26"/>
          <w:lang w:eastAsia="zh-CN"/>
        </w:rPr>
        <w:t>т.р</w:t>
      </w:r>
      <w:proofErr w:type="spellEnd"/>
      <w:r w:rsidRPr="00F84679">
        <w:rPr>
          <w:rFonts w:ascii="Times New Roman" w:eastAsia="Times New Roman" w:hAnsi="Times New Roman" w:cs="Times New Roman"/>
          <w:iCs/>
          <w:sz w:val="26"/>
          <w:szCs w:val="26"/>
          <w:lang w:eastAsia="zh-CN"/>
        </w:rPr>
        <w:t xml:space="preserve">. </w:t>
      </w:r>
    </w:p>
    <w:p w:rsidR="00F84679" w:rsidRPr="00F84679" w:rsidRDefault="00F84679" w:rsidP="00F84679">
      <w:pPr>
        <w:suppressAutoHyphens/>
        <w:autoSpaceDE w:val="0"/>
        <w:spacing w:after="0" w:line="240" w:lineRule="auto"/>
        <w:rPr>
          <w:rFonts w:ascii="Calibri" w:eastAsia="Times New Roman" w:hAnsi="Calibri" w:cs="Calibri"/>
          <w:lang w:eastAsia="zh-CN"/>
        </w:rPr>
      </w:pPr>
      <w:r w:rsidRPr="00F8467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Подраздел 05 03 «Благоустройство».</w:t>
      </w:r>
    </w:p>
    <w:p w:rsidR="00F84679" w:rsidRPr="00F84679" w:rsidRDefault="00A06A34" w:rsidP="00F84679">
      <w:pPr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план на отчетный период – 948,6</w:t>
      </w:r>
      <w:r w:rsid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proofErr w:type="spellStart"/>
      <w:r w:rsid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>т.р</w:t>
      </w:r>
      <w:proofErr w:type="spellEnd"/>
      <w:r w:rsid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  <w:r w:rsidR="00F84679"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, в </w:t>
      </w:r>
      <w:proofErr w:type="spellStart"/>
      <w:r w:rsidR="00F84679"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>т.ч</w:t>
      </w:r>
      <w:proofErr w:type="spellEnd"/>
      <w:r w:rsidR="00F84679"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>.:</w:t>
      </w:r>
    </w:p>
    <w:p w:rsidR="00F84679" w:rsidRPr="00F84679" w:rsidRDefault="00F84679" w:rsidP="00F84679">
      <w:pPr>
        <w:suppressAutoHyphens/>
        <w:autoSpaceDE w:val="0"/>
        <w:spacing w:after="0" w:line="240" w:lineRule="auto"/>
        <w:jc w:val="both"/>
        <w:outlineLvl w:val="0"/>
        <w:rPr>
          <w:rFonts w:ascii="Calibri" w:eastAsia="Times New Roman" w:hAnsi="Calibri" w:cs="Calibri"/>
          <w:lang w:eastAsia="zh-CN"/>
        </w:rPr>
      </w:pPr>
      <w:r w:rsidRPr="00F84679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*</w:t>
      </w:r>
      <w:r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а </w:t>
      </w:r>
      <w:r w:rsidR="00B04B41">
        <w:rPr>
          <w:rFonts w:ascii="Times New Roman" w:eastAsia="Times New Roman" w:hAnsi="Times New Roman" w:cs="Times New Roman"/>
          <w:sz w:val="26"/>
          <w:szCs w:val="26"/>
          <w:lang w:eastAsia="zh-CN"/>
        </w:rPr>
        <w:t>2021-2030 годы" при плане 948,6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т.р</w:t>
      </w:r>
      <w:proofErr w:type="spellEnd"/>
      <w:r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  <w:r w:rsidRPr="00F84679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</w:t>
      </w:r>
      <w:r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>Средства запланированы на мероприятия:</w:t>
      </w:r>
    </w:p>
    <w:p w:rsidR="00F84679" w:rsidRPr="00F84679" w:rsidRDefault="00F84679" w:rsidP="00F84679">
      <w:pPr>
        <w:suppressAutoHyphens/>
        <w:autoSpaceDE w:val="0"/>
        <w:spacing w:after="0" w:line="240" w:lineRule="auto"/>
        <w:jc w:val="both"/>
        <w:outlineLvl w:val="0"/>
        <w:rPr>
          <w:rFonts w:ascii="Calibri" w:eastAsia="Times New Roman" w:hAnsi="Calibri" w:cs="Calibri"/>
          <w:lang w:eastAsia="zh-CN"/>
        </w:rPr>
      </w:pPr>
      <w:r w:rsidRPr="00F8467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- </w:t>
      </w:r>
      <w:r w:rsidRPr="00F84679">
        <w:rPr>
          <w:rFonts w:ascii="Times New Roman" w:eastAsia="Times New Roman" w:hAnsi="Times New Roman" w:cs="Times New Roman"/>
          <w:i/>
          <w:iCs/>
          <w:sz w:val="26"/>
          <w:szCs w:val="26"/>
          <w:lang w:eastAsia="zh-CN"/>
        </w:rPr>
        <w:t>Благ</w:t>
      </w:r>
      <w:r w:rsidR="00B04B41">
        <w:rPr>
          <w:rFonts w:ascii="Times New Roman" w:eastAsia="Times New Roman" w:hAnsi="Times New Roman" w:cs="Times New Roman"/>
          <w:i/>
          <w:iCs/>
          <w:sz w:val="26"/>
          <w:szCs w:val="26"/>
          <w:lang w:eastAsia="zh-CN"/>
        </w:rPr>
        <w:t>оустройство, запланировано 202</w:t>
      </w:r>
      <w:r w:rsidRPr="00F84679">
        <w:rPr>
          <w:rFonts w:ascii="Times New Roman" w:eastAsia="Times New Roman" w:hAnsi="Times New Roman" w:cs="Times New Roman"/>
          <w:i/>
          <w:iCs/>
          <w:sz w:val="26"/>
          <w:szCs w:val="26"/>
          <w:lang w:eastAsia="zh-CN"/>
        </w:rPr>
        <w:t xml:space="preserve"> </w:t>
      </w:r>
      <w:proofErr w:type="spellStart"/>
      <w:r w:rsidRPr="00F84679">
        <w:rPr>
          <w:rFonts w:ascii="Times New Roman" w:eastAsia="Times New Roman" w:hAnsi="Times New Roman" w:cs="Times New Roman"/>
          <w:i/>
          <w:iCs/>
          <w:sz w:val="26"/>
          <w:szCs w:val="26"/>
          <w:lang w:eastAsia="zh-CN"/>
        </w:rPr>
        <w:t>т.р</w:t>
      </w:r>
      <w:proofErr w:type="spellEnd"/>
      <w:r w:rsidRPr="00F84679">
        <w:rPr>
          <w:rFonts w:ascii="Times New Roman" w:eastAsia="Times New Roman" w:hAnsi="Times New Roman" w:cs="Times New Roman"/>
          <w:i/>
          <w:iCs/>
          <w:sz w:val="26"/>
          <w:szCs w:val="26"/>
          <w:lang w:eastAsia="zh-CN"/>
        </w:rPr>
        <w:t xml:space="preserve">. </w:t>
      </w:r>
    </w:p>
    <w:p w:rsidR="00F84679" w:rsidRPr="008E0DDC" w:rsidRDefault="00F84679" w:rsidP="00F8467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F84679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- Уличное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="00B04B41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свещение – запланировано  746,6</w:t>
      </w:r>
      <w:r w:rsidRPr="00F84679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</w:t>
      </w:r>
      <w:proofErr w:type="spellStart"/>
      <w:r w:rsidRPr="00F84679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т.р</w:t>
      </w:r>
      <w:proofErr w:type="spellEnd"/>
      <w:r w:rsidRPr="00F84679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. </w:t>
      </w:r>
    </w:p>
    <w:p w:rsidR="002C14B0" w:rsidRPr="002C14B0" w:rsidRDefault="002C14B0" w:rsidP="002C14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Подраздел 05 05 «</w:t>
      </w:r>
      <w:r w:rsidRPr="002C14B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Другие вопросы в области жилищно-коммунального хозяйства»</w:t>
      </w:r>
    </w:p>
    <w:p w:rsidR="002C14B0" w:rsidRPr="002C14B0" w:rsidRDefault="00B04B41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установлен в сумме 59,9</w:t>
      </w:r>
      <w:r w:rsidR="002C14B0"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C14B0"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="002C14B0"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в </w:t>
      </w:r>
      <w:proofErr w:type="spellStart"/>
      <w:r w:rsidR="002C14B0"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="002C14B0"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2C14B0" w:rsidRPr="002C14B0" w:rsidRDefault="002C14B0" w:rsidP="002C14B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C14B0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</w:t>
      </w:r>
      <w:r w:rsidRPr="002C14B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Расходы на организацию ритуальных </w:t>
      </w:r>
      <w:r w:rsidR="00B04B4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услуг запланированы в сумме 59,9</w:t>
      </w:r>
      <w:r w:rsidRPr="002C14B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 Согласно «Порядка предоставления субсидии с целью возмещения недополученных доходов в связи с оказанием гарантированного перечня услуг по погребению» утвержденного постановлением Администрации МО «</w:t>
      </w:r>
      <w:proofErr w:type="spellStart"/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Колгуевский</w:t>
      </w:r>
      <w:proofErr w:type="spellEnd"/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сельсовет» НАО от 23.11.2017 №61-п специализированная служба представляет в Администрации МО «</w:t>
      </w:r>
      <w:proofErr w:type="spellStart"/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Колгуевский</w:t>
      </w:r>
      <w:proofErr w:type="spellEnd"/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сельсовет» НАО заявление с документ</w:t>
      </w:r>
      <w:r w:rsidR="00B04B4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ами на возмещение.</w:t>
      </w:r>
      <w:proofErr w:type="gramEnd"/>
      <w:r w:rsidR="00B04B4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 мае 2023</w:t>
      </w:r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года на основании проведенного конкурса по выбору специализированной службы по вопросам похоронного дела на территории МО «</w:t>
      </w:r>
      <w:proofErr w:type="spellStart"/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Колгуевский</w:t>
      </w:r>
      <w:proofErr w:type="spellEnd"/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сельсовет» НАО договор на право оказания услуг по погребению и получения статуса специализированной службы по вопросам похоронного дела заключен с МП ЗР </w:t>
      </w:r>
      <w:proofErr w:type="spellStart"/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Севержилкомсервис</w:t>
      </w:r>
      <w:proofErr w:type="spellEnd"/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. </w:t>
      </w:r>
    </w:p>
    <w:p w:rsidR="002C14B0" w:rsidRPr="002C14B0" w:rsidRDefault="002C14B0" w:rsidP="002C14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4B0" w:rsidRPr="002C14B0" w:rsidRDefault="002C14B0" w:rsidP="002C1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10 «Социальная политика»</w:t>
      </w:r>
    </w:p>
    <w:p w:rsidR="002C14B0" w:rsidRPr="002C14B0" w:rsidRDefault="002C14B0" w:rsidP="002C14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4B0" w:rsidRPr="002C14B0" w:rsidRDefault="002C14B0" w:rsidP="002C14B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 по разделу 10 </w:t>
      </w:r>
      <w:r w:rsidRPr="002C14B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«Социальная политика»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4B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запланированы в сумме 2606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подразделу 10 01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«Пенсионное обеспечение»</w:t>
      </w:r>
      <w:bookmarkStart w:id="4" w:name="OLE_LINK7"/>
      <w:bookmarkStart w:id="5" w:name="OLE_LINK8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запланированы расходы </w:t>
      </w:r>
      <w:bookmarkEnd w:id="4"/>
      <w:bookmarkEnd w:id="5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доплаты к пенсиям мун</w:t>
      </w:r>
      <w:r w:rsidR="00B70BB4">
        <w:rPr>
          <w:rFonts w:ascii="Times New Roman" w:eastAsia="Times New Roman" w:hAnsi="Times New Roman" w:cs="Times New Roman"/>
          <w:sz w:val="26"/>
          <w:szCs w:val="26"/>
          <w:lang w:eastAsia="ru-RU"/>
        </w:rPr>
        <w:t>иц</w:t>
      </w:r>
      <w:r w:rsidR="00B04B41">
        <w:rPr>
          <w:rFonts w:ascii="Times New Roman" w:eastAsia="Times New Roman" w:hAnsi="Times New Roman" w:cs="Times New Roman"/>
          <w:sz w:val="26"/>
          <w:szCs w:val="26"/>
          <w:lang w:eastAsia="ru-RU"/>
        </w:rPr>
        <w:t>ипальных служащих в сумме 2606</w:t>
      </w:r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2C14B0">
        <w:rPr>
          <w:rFonts w:ascii="Times New Roman" w:eastAsia="Times New Roman" w:hAnsi="Times New Roman" w:cs="Times New Roman"/>
          <w:sz w:val="26"/>
          <w:szCs w:val="26"/>
          <w:lang w:eastAsia="ru-RU"/>
        </w:rPr>
        <w:t>., из них:</w:t>
      </w:r>
    </w:p>
    <w:p w:rsidR="002C14B0" w:rsidRPr="002C14B0" w:rsidRDefault="002C14B0" w:rsidP="002C14B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 счет средств районного бюджета пр</w:t>
      </w:r>
      <w:r w:rsidR="00B04B4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едусмотрены расходы на выплату:</w:t>
      </w:r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пенсии лицам, замещавшим должности муниципальной службы - иные межбюджетные тр</w:t>
      </w:r>
      <w:r w:rsidR="00B04B4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ансферты в рамках МП</w:t>
      </w:r>
      <w:r w:rsidRPr="002C14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"Возмещение части затрат на содержание органов местного самоуправления поселений Ненецкого автономного ок</w:t>
      </w:r>
      <w:r w:rsidR="00B70BB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ру</w:t>
      </w:r>
      <w:r w:rsidR="00B04B4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га" запланировано в сумме 402,2 </w:t>
      </w:r>
      <w:proofErr w:type="spellStart"/>
      <w:r w:rsidR="00B04B4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т.р</w:t>
      </w:r>
      <w:proofErr w:type="spellEnd"/>
      <w:r w:rsidR="00B04B4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 Пенсию получает 1 человек;</w:t>
      </w:r>
    </w:p>
    <w:p w:rsidR="002C14B0" w:rsidRPr="00B04B41" w:rsidRDefault="00B04B41" w:rsidP="00B04B41">
      <w:pPr>
        <w:pStyle w:val="a8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на пенсии лицам </w:t>
      </w:r>
      <w:r w:rsidRPr="00B04B41">
        <w:rPr>
          <w:rFonts w:ascii="Times New Roman" w:eastAsia="Times New Roman" w:hAnsi="Times New Roman"/>
          <w:i/>
          <w:sz w:val="26"/>
          <w:szCs w:val="26"/>
          <w:lang w:eastAsia="ru-RU"/>
        </w:rPr>
        <w:t>замещавшим выборные должности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запланировано 2203,8 </w:t>
      </w:r>
      <w:proofErr w:type="spellStart"/>
      <w:r>
        <w:rPr>
          <w:rFonts w:ascii="Times New Roman" w:eastAsia="Times New Roman" w:hAnsi="Times New Roman"/>
          <w:i/>
          <w:sz w:val="26"/>
          <w:szCs w:val="26"/>
          <w:lang w:eastAsia="ru-RU"/>
        </w:rPr>
        <w:t>т.р</w:t>
      </w:r>
      <w:proofErr w:type="spellEnd"/>
      <w:r>
        <w:rPr>
          <w:rFonts w:ascii="Times New Roman" w:eastAsia="Times New Roman" w:hAnsi="Times New Roman"/>
          <w:i/>
          <w:sz w:val="26"/>
          <w:szCs w:val="26"/>
          <w:lang w:eastAsia="ru-RU"/>
        </w:rPr>
        <w:t>. Пенсию получают 3 человека.</w:t>
      </w:r>
    </w:p>
    <w:p w:rsidR="002C14B0" w:rsidRPr="002C14B0" w:rsidRDefault="002C14B0" w:rsidP="002C14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14B0" w:rsidRPr="00BB6CEE" w:rsidRDefault="002C14B0" w:rsidP="00BB6C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4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0"/>
        <w:gridCol w:w="2296"/>
        <w:gridCol w:w="3514"/>
      </w:tblGrid>
      <w:tr w:rsidR="002C14B0" w:rsidRPr="002C14B0" w:rsidTr="002C14B0">
        <w:tc>
          <w:tcPr>
            <w:tcW w:w="3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6CEE" w:rsidRDefault="00BB6CEE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CEE" w:rsidRDefault="00BB6CEE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14B0" w:rsidRPr="002C14B0" w:rsidRDefault="00BB6CEE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Сельского поселения</w:t>
            </w:r>
          </w:p>
        </w:tc>
        <w:tc>
          <w:tcPr>
            <w:tcW w:w="22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6CEE" w:rsidRDefault="00BB6CEE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CEE" w:rsidRDefault="00BB6CEE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14B0" w:rsidRPr="002C14B0" w:rsidRDefault="002C14B0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6CEE" w:rsidRDefault="00BB6CEE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6CEE" w:rsidRDefault="00BB6CEE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14B0" w:rsidRPr="002C14B0" w:rsidRDefault="002C14B0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Майков Н.Я.</w:t>
            </w:r>
          </w:p>
        </w:tc>
      </w:tr>
      <w:tr w:rsidR="002C14B0" w:rsidRPr="002C14B0" w:rsidTr="002C14B0">
        <w:trPr>
          <w:trHeight w:val="280"/>
        </w:trPr>
        <w:tc>
          <w:tcPr>
            <w:tcW w:w="3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B6CEE" w:rsidRDefault="00BB6CEE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14B0" w:rsidRPr="002C14B0" w:rsidRDefault="00BB6CEE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Колгуевский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сельсовет» ЗР НАО</w:t>
            </w:r>
          </w:p>
        </w:tc>
        <w:tc>
          <w:tcPr>
            <w:tcW w:w="22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B0" w:rsidRPr="002C14B0" w:rsidRDefault="00BB6CEE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2C14B0" w:rsidRPr="002C14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(подпись)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B0" w:rsidRPr="002C14B0" w:rsidRDefault="002C14B0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(расшифровка подписи)</w:t>
            </w:r>
          </w:p>
        </w:tc>
      </w:tr>
      <w:tr w:rsidR="002C14B0" w:rsidRPr="002C14B0" w:rsidTr="002C14B0">
        <w:trPr>
          <w:trHeight w:val="281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C14B0" w:rsidRPr="002C14B0" w:rsidRDefault="002C14B0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14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C14B0" w:rsidRPr="002C14B0" w:rsidTr="002C14B0">
        <w:trPr>
          <w:trHeight w:val="281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C14B0" w:rsidRPr="002C14B0" w:rsidRDefault="002C14B0" w:rsidP="002C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C14B0" w:rsidRPr="002C14B0" w:rsidRDefault="002C14B0" w:rsidP="002C14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C2912" w:rsidRPr="00084665" w:rsidRDefault="001C2912" w:rsidP="00084665">
      <w:pPr>
        <w:spacing w:after="0" w:line="23" w:lineRule="atLeast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sectPr w:rsidR="001C2912" w:rsidRPr="00084665" w:rsidSect="00BB6CE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27B" w:rsidRDefault="001E527B" w:rsidP="00314C9A">
      <w:pPr>
        <w:spacing w:after="0" w:line="240" w:lineRule="auto"/>
      </w:pPr>
      <w:r>
        <w:separator/>
      </w:r>
    </w:p>
  </w:endnote>
  <w:endnote w:type="continuationSeparator" w:id="0">
    <w:p w:rsidR="001E527B" w:rsidRDefault="001E527B" w:rsidP="00314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27B" w:rsidRDefault="001E527B" w:rsidP="00314C9A">
      <w:pPr>
        <w:spacing w:after="0" w:line="240" w:lineRule="auto"/>
      </w:pPr>
      <w:r>
        <w:separator/>
      </w:r>
    </w:p>
  </w:footnote>
  <w:footnote w:type="continuationSeparator" w:id="0">
    <w:p w:rsidR="001E527B" w:rsidRDefault="001E527B" w:rsidP="00314C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4D55"/>
    <w:multiLevelType w:val="hybridMultilevel"/>
    <w:tmpl w:val="D3723F0C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10854"/>
    <w:multiLevelType w:val="hybridMultilevel"/>
    <w:tmpl w:val="3B3A9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20F6F"/>
    <w:multiLevelType w:val="hybridMultilevel"/>
    <w:tmpl w:val="86A049CC"/>
    <w:lvl w:ilvl="0" w:tplc="9F8E826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79C6A65"/>
    <w:multiLevelType w:val="hybridMultilevel"/>
    <w:tmpl w:val="00D2B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C050C7"/>
    <w:multiLevelType w:val="hybridMultilevel"/>
    <w:tmpl w:val="3092E1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207963"/>
    <w:multiLevelType w:val="multilevel"/>
    <w:tmpl w:val="28E4FE8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2F13B28"/>
    <w:multiLevelType w:val="hybridMultilevel"/>
    <w:tmpl w:val="50CCF2EE"/>
    <w:lvl w:ilvl="0" w:tplc="041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">
    <w:nsid w:val="23436D9C"/>
    <w:multiLevelType w:val="hybridMultilevel"/>
    <w:tmpl w:val="A8E879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4B13C4"/>
    <w:multiLevelType w:val="hybridMultilevel"/>
    <w:tmpl w:val="447EE464"/>
    <w:lvl w:ilvl="0" w:tplc="041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>
    <w:nsid w:val="3B78211E"/>
    <w:multiLevelType w:val="hybridMultilevel"/>
    <w:tmpl w:val="7F7C4C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40BD4184"/>
    <w:multiLevelType w:val="hybridMultilevel"/>
    <w:tmpl w:val="A4F61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5B21EE"/>
    <w:multiLevelType w:val="hybridMultilevel"/>
    <w:tmpl w:val="B374198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4E0C62E5"/>
    <w:multiLevelType w:val="hybridMultilevel"/>
    <w:tmpl w:val="5FEC5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0E329D"/>
    <w:multiLevelType w:val="multilevel"/>
    <w:tmpl w:val="65D072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10B6799"/>
    <w:multiLevelType w:val="hybridMultilevel"/>
    <w:tmpl w:val="4CEA386E"/>
    <w:lvl w:ilvl="0" w:tplc="04190001">
      <w:start w:val="1"/>
      <w:numFmt w:val="bullet"/>
      <w:lvlText w:val=""/>
      <w:lvlJc w:val="left"/>
      <w:pPr>
        <w:ind w:left="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89" w:hanging="360"/>
      </w:pPr>
      <w:rPr>
        <w:rFonts w:ascii="Wingdings" w:hAnsi="Wingdings" w:hint="default"/>
      </w:rPr>
    </w:lvl>
  </w:abstractNum>
  <w:abstractNum w:abstractNumId="15">
    <w:nsid w:val="51E20E47"/>
    <w:multiLevelType w:val="hybridMultilevel"/>
    <w:tmpl w:val="FD1A6650"/>
    <w:lvl w:ilvl="0" w:tplc="0419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16">
    <w:nsid w:val="5260630F"/>
    <w:multiLevelType w:val="hybridMultilevel"/>
    <w:tmpl w:val="10388D5E"/>
    <w:lvl w:ilvl="0" w:tplc="7F22C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2FA88BE">
      <w:start w:val="1"/>
      <w:numFmt w:val="decimal"/>
      <w:lvlText w:val="%2)"/>
      <w:lvlJc w:val="left"/>
      <w:pPr>
        <w:ind w:left="2445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A1C3FE7"/>
    <w:multiLevelType w:val="hybridMultilevel"/>
    <w:tmpl w:val="04AA4D0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AD56028"/>
    <w:multiLevelType w:val="hybridMultilevel"/>
    <w:tmpl w:val="6874A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9C0B57"/>
    <w:multiLevelType w:val="multilevel"/>
    <w:tmpl w:val="6C44CB8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>
    <w:nsid w:val="5F673EBF"/>
    <w:multiLevelType w:val="hybridMultilevel"/>
    <w:tmpl w:val="BA56291A"/>
    <w:lvl w:ilvl="0" w:tplc="04190001">
      <w:start w:val="1"/>
      <w:numFmt w:val="bullet"/>
      <w:lvlText w:val=""/>
      <w:lvlJc w:val="left"/>
      <w:pPr>
        <w:ind w:left="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89" w:hanging="360"/>
      </w:pPr>
      <w:rPr>
        <w:rFonts w:ascii="Wingdings" w:hAnsi="Wingdings" w:hint="default"/>
      </w:rPr>
    </w:lvl>
  </w:abstractNum>
  <w:abstractNum w:abstractNumId="21">
    <w:nsid w:val="6021173B"/>
    <w:multiLevelType w:val="hybridMultilevel"/>
    <w:tmpl w:val="E6BE8E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C406EC"/>
    <w:multiLevelType w:val="hybridMultilevel"/>
    <w:tmpl w:val="5FD4D940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>
    <w:nsid w:val="65924FFB"/>
    <w:multiLevelType w:val="hybridMultilevel"/>
    <w:tmpl w:val="C81422EE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>
    <w:nsid w:val="6EA5788A"/>
    <w:multiLevelType w:val="hybridMultilevel"/>
    <w:tmpl w:val="32F07E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1132DCE"/>
    <w:multiLevelType w:val="hybridMultilevel"/>
    <w:tmpl w:val="F772981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79865D34"/>
    <w:multiLevelType w:val="multilevel"/>
    <w:tmpl w:val="D71AC05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>
    <w:nsid w:val="7A7F35FC"/>
    <w:multiLevelType w:val="hybridMultilevel"/>
    <w:tmpl w:val="8006E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654F2D"/>
    <w:multiLevelType w:val="multilevel"/>
    <w:tmpl w:val="5F18788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4"/>
  </w:num>
  <w:num w:numId="3">
    <w:abstractNumId w:val="17"/>
  </w:num>
  <w:num w:numId="4">
    <w:abstractNumId w:val="13"/>
  </w:num>
  <w:num w:numId="5">
    <w:abstractNumId w:val="28"/>
  </w:num>
  <w:num w:numId="6">
    <w:abstractNumId w:val="19"/>
  </w:num>
  <w:num w:numId="7">
    <w:abstractNumId w:val="5"/>
  </w:num>
  <w:num w:numId="8">
    <w:abstractNumId w:val="23"/>
  </w:num>
  <w:num w:numId="9">
    <w:abstractNumId w:val="16"/>
  </w:num>
  <w:num w:numId="10">
    <w:abstractNumId w:val="26"/>
  </w:num>
  <w:num w:numId="11">
    <w:abstractNumId w:val="15"/>
  </w:num>
  <w:num w:numId="12">
    <w:abstractNumId w:val="14"/>
  </w:num>
  <w:num w:numId="13">
    <w:abstractNumId w:val="20"/>
  </w:num>
  <w:num w:numId="14">
    <w:abstractNumId w:val="4"/>
  </w:num>
  <w:num w:numId="15">
    <w:abstractNumId w:val="7"/>
  </w:num>
  <w:num w:numId="16">
    <w:abstractNumId w:val="0"/>
  </w:num>
  <w:num w:numId="17">
    <w:abstractNumId w:val="18"/>
  </w:num>
  <w:num w:numId="18">
    <w:abstractNumId w:val="6"/>
  </w:num>
  <w:num w:numId="19">
    <w:abstractNumId w:val="12"/>
  </w:num>
  <w:num w:numId="20">
    <w:abstractNumId w:val="1"/>
  </w:num>
  <w:num w:numId="21">
    <w:abstractNumId w:val="22"/>
  </w:num>
  <w:num w:numId="22">
    <w:abstractNumId w:val="8"/>
  </w:num>
  <w:num w:numId="23">
    <w:abstractNumId w:val="9"/>
  </w:num>
  <w:num w:numId="24">
    <w:abstractNumId w:val="25"/>
  </w:num>
  <w:num w:numId="25">
    <w:abstractNumId w:val="11"/>
  </w:num>
  <w:num w:numId="26">
    <w:abstractNumId w:val="3"/>
  </w:num>
  <w:num w:numId="27">
    <w:abstractNumId w:val="27"/>
  </w:num>
  <w:num w:numId="28">
    <w:abstractNumId w:val="21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80B"/>
    <w:rsid w:val="000003E9"/>
    <w:rsid w:val="0000188A"/>
    <w:rsid w:val="00001E1B"/>
    <w:rsid w:val="00003620"/>
    <w:rsid w:val="00007CDC"/>
    <w:rsid w:val="000119F4"/>
    <w:rsid w:val="00013D1D"/>
    <w:rsid w:val="00016580"/>
    <w:rsid w:val="00016CE8"/>
    <w:rsid w:val="00023232"/>
    <w:rsid w:val="000234E2"/>
    <w:rsid w:val="00024501"/>
    <w:rsid w:val="000268EC"/>
    <w:rsid w:val="000319B7"/>
    <w:rsid w:val="00032C6A"/>
    <w:rsid w:val="00034C54"/>
    <w:rsid w:val="000377E1"/>
    <w:rsid w:val="00040DD5"/>
    <w:rsid w:val="00041668"/>
    <w:rsid w:val="00043357"/>
    <w:rsid w:val="00045069"/>
    <w:rsid w:val="000453C9"/>
    <w:rsid w:val="0004611A"/>
    <w:rsid w:val="0004651A"/>
    <w:rsid w:val="00052309"/>
    <w:rsid w:val="000532B8"/>
    <w:rsid w:val="0005649A"/>
    <w:rsid w:val="0005737B"/>
    <w:rsid w:val="00057F32"/>
    <w:rsid w:val="00060857"/>
    <w:rsid w:val="000628B3"/>
    <w:rsid w:val="00064F76"/>
    <w:rsid w:val="0006644F"/>
    <w:rsid w:val="00071058"/>
    <w:rsid w:val="00075F19"/>
    <w:rsid w:val="0007755C"/>
    <w:rsid w:val="0008366C"/>
    <w:rsid w:val="00083D89"/>
    <w:rsid w:val="00084665"/>
    <w:rsid w:val="00084E81"/>
    <w:rsid w:val="00086B51"/>
    <w:rsid w:val="000879CE"/>
    <w:rsid w:val="000901B5"/>
    <w:rsid w:val="00091376"/>
    <w:rsid w:val="00092A52"/>
    <w:rsid w:val="0009541B"/>
    <w:rsid w:val="00097A4D"/>
    <w:rsid w:val="000A0757"/>
    <w:rsid w:val="000A24AF"/>
    <w:rsid w:val="000A7AD4"/>
    <w:rsid w:val="000B17F4"/>
    <w:rsid w:val="000B586D"/>
    <w:rsid w:val="000B7162"/>
    <w:rsid w:val="000C1DD7"/>
    <w:rsid w:val="000C4B1D"/>
    <w:rsid w:val="000C5C1A"/>
    <w:rsid w:val="000C7364"/>
    <w:rsid w:val="000D0A82"/>
    <w:rsid w:val="000D1B82"/>
    <w:rsid w:val="000D3B69"/>
    <w:rsid w:val="000D3FE7"/>
    <w:rsid w:val="000D59FA"/>
    <w:rsid w:val="000D5BEC"/>
    <w:rsid w:val="000D6222"/>
    <w:rsid w:val="000D6E4C"/>
    <w:rsid w:val="000E251F"/>
    <w:rsid w:val="000E36A9"/>
    <w:rsid w:val="000E6E4B"/>
    <w:rsid w:val="000E72F2"/>
    <w:rsid w:val="000E7C8D"/>
    <w:rsid w:val="000F35FD"/>
    <w:rsid w:val="000F3FDC"/>
    <w:rsid w:val="000F4219"/>
    <w:rsid w:val="000F46CA"/>
    <w:rsid w:val="000F4F9F"/>
    <w:rsid w:val="000F581F"/>
    <w:rsid w:val="000F6173"/>
    <w:rsid w:val="000F654F"/>
    <w:rsid w:val="001016D9"/>
    <w:rsid w:val="00101AA7"/>
    <w:rsid w:val="00101FBC"/>
    <w:rsid w:val="00103C35"/>
    <w:rsid w:val="00105993"/>
    <w:rsid w:val="001070DB"/>
    <w:rsid w:val="0011116E"/>
    <w:rsid w:val="00117C47"/>
    <w:rsid w:val="001201B2"/>
    <w:rsid w:val="00121A3C"/>
    <w:rsid w:val="001330DA"/>
    <w:rsid w:val="0013470A"/>
    <w:rsid w:val="00135F8E"/>
    <w:rsid w:val="00140EA2"/>
    <w:rsid w:val="001416B5"/>
    <w:rsid w:val="001416F6"/>
    <w:rsid w:val="00141C5E"/>
    <w:rsid w:val="00142F9C"/>
    <w:rsid w:val="001435A2"/>
    <w:rsid w:val="001445E7"/>
    <w:rsid w:val="001450D8"/>
    <w:rsid w:val="00145CFE"/>
    <w:rsid w:val="00147F72"/>
    <w:rsid w:val="00151502"/>
    <w:rsid w:val="00153D44"/>
    <w:rsid w:val="00153FBA"/>
    <w:rsid w:val="00154745"/>
    <w:rsid w:val="0015485C"/>
    <w:rsid w:val="00156C07"/>
    <w:rsid w:val="0016409C"/>
    <w:rsid w:val="001648FF"/>
    <w:rsid w:val="00164C0E"/>
    <w:rsid w:val="00166885"/>
    <w:rsid w:val="001678DB"/>
    <w:rsid w:val="00170A98"/>
    <w:rsid w:val="00172808"/>
    <w:rsid w:val="001759DB"/>
    <w:rsid w:val="00176839"/>
    <w:rsid w:val="00177234"/>
    <w:rsid w:val="00184722"/>
    <w:rsid w:val="00184B3B"/>
    <w:rsid w:val="00191F62"/>
    <w:rsid w:val="001921DC"/>
    <w:rsid w:val="001A058D"/>
    <w:rsid w:val="001A172E"/>
    <w:rsid w:val="001A1FF9"/>
    <w:rsid w:val="001A400D"/>
    <w:rsid w:val="001A57C5"/>
    <w:rsid w:val="001A6272"/>
    <w:rsid w:val="001B0357"/>
    <w:rsid w:val="001B0BBB"/>
    <w:rsid w:val="001B2570"/>
    <w:rsid w:val="001C02FC"/>
    <w:rsid w:val="001C2912"/>
    <w:rsid w:val="001C3E99"/>
    <w:rsid w:val="001C4ACD"/>
    <w:rsid w:val="001C5BA7"/>
    <w:rsid w:val="001C5D27"/>
    <w:rsid w:val="001C6A35"/>
    <w:rsid w:val="001C7193"/>
    <w:rsid w:val="001C7A1A"/>
    <w:rsid w:val="001D2A8E"/>
    <w:rsid w:val="001E3FC5"/>
    <w:rsid w:val="001E40B8"/>
    <w:rsid w:val="001E4B44"/>
    <w:rsid w:val="001E527B"/>
    <w:rsid w:val="001E5A94"/>
    <w:rsid w:val="001E64B0"/>
    <w:rsid w:val="001F16EF"/>
    <w:rsid w:val="001F5F51"/>
    <w:rsid w:val="00200CFE"/>
    <w:rsid w:val="00201852"/>
    <w:rsid w:val="00203FD1"/>
    <w:rsid w:val="002073D5"/>
    <w:rsid w:val="00207E1E"/>
    <w:rsid w:val="00212D7A"/>
    <w:rsid w:val="002142FD"/>
    <w:rsid w:val="0022079E"/>
    <w:rsid w:val="00231610"/>
    <w:rsid w:val="002351E8"/>
    <w:rsid w:val="002373A7"/>
    <w:rsid w:val="00242144"/>
    <w:rsid w:val="0024296F"/>
    <w:rsid w:val="002454F4"/>
    <w:rsid w:val="00245E25"/>
    <w:rsid w:val="002474C8"/>
    <w:rsid w:val="00247BD8"/>
    <w:rsid w:val="0025151D"/>
    <w:rsid w:val="00251F0A"/>
    <w:rsid w:val="00252963"/>
    <w:rsid w:val="00253833"/>
    <w:rsid w:val="0025576B"/>
    <w:rsid w:val="00262F00"/>
    <w:rsid w:val="00266D2C"/>
    <w:rsid w:val="002700BE"/>
    <w:rsid w:val="00270E99"/>
    <w:rsid w:val="00271B8E"/>
    <w:rsid w:val="002720C1"/>
    <w:rsid w:val="00272A6D"/>
    <w:rsid w:val="00275A62"/>
    <w:rsid w:val="002766E3"/>
    <w:rsid w:val="0028078C"/>
    <w:rsid w:val="00280C67"/>
    <w:rsid w:val="00283737"/>
    <w:rsid w:val="00283941"/>
    <w:rsid w:val="00283F6C"/>
    <w:rsid w:val="0028512A"/>
    <w:rsid w:val="00287B2B"/>
    <w:rsid w:val="00292B99"/>
    <w:rsid w:val="00293009"/>
    <w:rsid w:val="00293989"/>
    <w:rsid w:val="00293A2D"/>
    <w:rsid w:val="00293CD5"/>
    <w:rsid w:val="00294200"/>
    <w:rsid w:val="0029452E"/>
    <w:rsid w:val="0029494A"/>
    <w:rsid w:val="00294BBE"/>
    <w:rsid w:val="002973A4"/>
    <w:rsid w:val="002A23A7"/>
    <w:rsid w:val="002A2B73"/>
    <w:rsid w:val="002A699F"/>
    <w:rsid w:val="002A724D"/>
    <w:rsid w:val="002A755B"/>
    <w:rsid w:val="002B58A3"/>
    <w:rsid w:val="002B5930"/>
    <w:rsid w:val="002C14B0"/>
    <w:rsid w:val="002C5202"/>
    <w:rsid w:val="002C6F30"/>
    <w:rsid w:val="002C7A2F"/>
    <w:rsid w:val="002D7512"/>
    <w:rsid w:val="002E0501"/>
    <w:rsid w:val="002E23B3"/>
    <w:rsid w:val="002F04E0"/>
    <w:rsid w:val="002F0C40"/>
    <w:rsid w:val="002F1004"/>
    <w:rsid w:val="002F51B4"/>
    <w:rsid w:val="002F6267"/>
    <w:rsid w:val="002F6B32"/>
    <w:rsid w:val="002F71C9"/>
    <w:rsid w:val="002F729F"/>
    <w:rsid w:val="002F740B"/>
    <w:rsid w:val="003002EA"/>
    <w:rsid w:val="00300E58"/>
    <w:rsid w:val="00301A07"/>
    <w:rsid w:val="00301CAA"/>
    <w:rsid w:val="003022B0"/>
    <w:rsid w:val="00305283"/>
    <w:rsid w:val="003056C8"/>
    <w:rsid w:val="00307876"/>
    <w:rsid w:val="00312C48"/>
    <w:rsid w:val="00312F2E"/>
    <w:rsid w:val="003133C3"/>
    <w:rsid w:val="003137CF"/>
    <w:rsid w:val="00314C9A"/>
    <w:rsid w:val="003163D8"/>
    <w:rsid w:val="00317A48"/>
    <w:rsid w:val="00321173"/>
    <w:rsid w:val="003221AF"/>
    <w:rsid w:val="00325824"/>
    <w:rsid w:val="00326B8F"/>
    <w:rsid w:val="00326C82"/>
    <w:rsid w:val="003317D5"/>
    <w:rsid w:val="0033480F"/>
    <w:rsid w:val="00334FF6"/>
    <w:rsid w:val="00336073"/>
    <w:rsid w:val="003412EC"/>
    <w:rsid w:val="00341DA7"/>
    <w:rsid w:val="00342E06"/>
    <w:rsid w:val="0034313C"/>
    <w:rsid w:val="003439B4"/>
    <w:rsid w:val="00343F92"/>
    <w:rsid w:val="003458BE"/>
    <w:rsid w:val="00345BF1"/>
    <w:rsid w:val="00346999"/>
    <w:rsid w:val="0034715C"/>
    <w:rsid w:val="003500C0"/>
    <w:rsid w:val="00351036"/>
    <w:rsid w:val="003525CB"/>
    <w:rsid w:val="00352691"/>
    <w:rsid w:val="00352715"/>
    <w:rsid w:val="003560E2"/>
    <w:rsid w:val="0036253D"/>
    <w:rsid w:val="003656D1"/>
    <w:rsid w:val="00370D36"/>
    <w:rsid w:val="00372F54"/>
    <w:rsid w:val="00374825"/>
    <w:rsid w:val="00380E0E"/>
    <w:rsid w:val="003814CF"/>
    <w:rsid w:val="00384A41"/>
    <w:rsid w:val="00385336"/>
    <w:rsid w:val="00385FE9"/>
    <w:rsid w:val="00387A8F"/>
    <w:rsid w:val="003916AB"/>
    <w:rsid w:val="00392A7E"/>
    <w:rsid w:val="00393328"/>
    <w:rsid w:val="00394295"/>
    <w:rsid w:val="003949C6"/>
    <w:rsid w:val="00394F80"/>
    <w:rsid w:val="00397F7F"/>
    <w:rsid w:val="003A188A"/>
    <w:rsid w:val="003A3776"/>
    <w:rsid w:val="003A7226"/>
    <w:rsid w:val="003A7519"/>
    <w:rsid w:val="003B11D1"/>
    <w:rsid w:val="003B5587"/>
    <w:rsid w:val="003B5B6C"/>
    <w:rsid w:val="003B636C"/>
    <w:rsid w:val="003B7046"/>
    <w:rsid w:val="003B706B"/>
    <w:rsid w:val="003C12C5"/>
    <w:rsid w:val="003C19D9"/>
    <w:rsid w:val="003C1B01"/>
    <w:rsid w:val="003C1FCA"/>
    <w:rsid w:val="003C2910"/>
    <w:rsid w:val="003C2CDC"/>
    <w:rsid w:val="003C4C9D"/>
    <w:rsid w:val="003D0202"/>
    <w:rsid w:val="003D1947"/>
    <w:rsid w:val="003D1A9E"/>
    <w:rsid w:val="003D27E8"/>
    <w:rsid w:val="003D2C37"/>
    <w:rsid w:val="003D358B"/>
    <w:rsid w:val="003D3E12"/>
    <w:rsid w:val="003D6816"/>
    <w:rsid w:val="003E0E1D"/>
    <w:rsid w:val="003E1749"/>
    <w:rsid w:val="003E23FA"/>
    <w:rsid w:val="003E248F"/>
    <w:rsid w:val="003F0214"/>
    <w:rsid w:val="003F3CE7"/>
    <w:rsid w:val="003F70CE"/>
    <w:rsid w:val="00404687"/>
    <w:rsid w:val="00404B46"/>
    <w:rsid w:val="00405BD2"/>
    <w:rsid w:val="00406273"/>
    <w:rsid w:val="00406B75"/>
    <w:rsid w:val="0041029F"/>
    <w:rsid w:val="00411F5C"/>
    <w:rsid w:val="00413386"/>
    <w:rsid w:val="00413459"/>
    <w:rsid w:val="00413468"/>
    <w:rsid w:val="00414063"/>
    <w:rsid w:val="00416385"/>
    <w:rsid w:val="0042164B"/>
    <w:rsid w:val="00421B8B"/>
    <w:rsid w:val="00421EEE"/>
    <w:rsid w:val="00422541"/>
    <w:rsid w:val="004245B7"/>
    <w:rsid w:val="00425573"/>
    <w:rsid w:val="004258E6"/>
    <w:rsid w:val="00433625"/>
    <w:rsid w:val="004336CB"/>
    <w:rsid w:val="00433C8B"/>
    <w:rsid w:val="00433DB6"/>
    <w:rsid w:val="004348E4"/>
    <w:rsid w:val="00436E59"/>
    <w:rsid w:val="00437852"/>
    <w:rsid w:val="0044107F"/>
    <w:rsid w:val="00442C5D"/>
    <w:rsid w:val="00445AFD"/>
    <w:rsid w:val="00452039"/>
    <w:rsid w:val="00453A16"/>
    <w:rsid w:val="00454B2F"/>
    <w:rsid w:val="00454E7A"/>
    <w:rsid w:val="00455FAB"/>
    <w:rsid w:val="0046016E"/>
    <w:rsid w:val="004607BF"/>
    <w:rsid w:val="0046268B"/>
    <w:rsid w:val="00462E33"/>
    <w:rsid w:val="004639FC"/>
    <w:rsid w:val="004643C9"/>
    <w:rsid w:val="00464463"/>
    <w:rsid w:val="00465582"/>
    <w:rsid w:val="00466B1D"/>
    <w:rsid w:val="00466B83"/>
    <w:rsid w:val="004674DF"/>
    <w:rsid w:val="004676CC"/>
    <w:rsid w:val="004706FF"/>
    <w:rsid w:val="00471AB5"/>
    <w:rsid w:val="00471B0E"/>
    <w:rsid w:val="00472E6F"/>
    <w:rsid w:val="004730C8"/>
    <w:rsid w:val="00484C32"/>
    <w:rsid w:val="004869E0"/>
    <w:rsid w:val="00486A8A"/>
    <w:rsid w:val="00487496"/>
    <w:rsid w:val="00487F12"/>
    <w:rsid w:val="004904E5"/>
    <w:rsid w:val="00495A41"/>
    <w:rsid w:val="004A0BAF"/>
    <w:rsid w:val="004A1AF0"/>
    <w:rsid w:val="004A1BB4"/>
    <w:rsid w:val="004A2DCF"/>
    <w:rsid w:val="004A610C"/>
    <w:rsid w:val="004B120C"/>
    <w:rsid w:val="004B1AF9"/>
    <w:rsid w:val="004B21ED"/>
    <w:rsid w:val="004C1E89"/>
    <w:rsid w:val="004C477C"/>
    <w:rsid w:val="004C5BD6"/>
    <w:rsid w:val="004D6C2E"/>
    <w:rsid w:val="004E1658"/>
    <w:rsid w:val="004E34E4"/>
    <w:rsid w:val="004E5A50"/>
    <w:rsid w:val="004F160F"/>
    <w:rsid w:val="004F25D3"/>
    <w:rsid w:val="00501F81"/>
    <w:rsid w:val="005052A2"/>
    <w:rsid w:val="005068FE"/>
    <w:rsid w:val="00510466"/>
    <w:rsid w:val="005148F9"/>
    <w:rsid w:val="00514E96"/>
    <w:rsid w:val="0051581E"/>
    <w:rsid w:val="0051645B"/>
    <w:rsid w:val="00516DAF"/>
    <w:rsid w:val="00516DC4"/>
    <w:rsid w:val="005211A7"/>
    <w:rsid w:val="005245C0"/>
    <w:rsid w:val="005265F6"/>
    <w:rsid w:val="00526B8E"/>
    <w:rsid w:val="005279E1"/>
    <w:rsid w:val="0053155B"/>
    <w:rsid w:val="00536785"/>
    <w:rsid w:val="00541A28"/>
    <w:rsid w:val="00541F13"/>
    <w:rsid w:val="0054234B"/>
    <w:rsid w:val="00544197"/>
    <w:rsid w:val="0054661D"/>
    <w:rsid w:val="005471D3"/>
    <w:rsid w:val="00554B2A"/>
    <w:rsid w:val="00561363"/>
    <w:rsid w:val="005613E8"/>
    <w:rsid w:val="0056214C"/>
    <w:rsid w:val="00563DA3"/>
    <w:rsid w:val="005643D0"/>
    <w:rsid w:val="00564F46"/>
    <w:rsid w:val="00567452"/>
    <w:rsid w:val="005716DA"/>
    <w:rsid w:val="00571DF3"/>
    <w:rsid w:val="005742E0"/>
    <w:rsid w:val="005763E1"/>
    <w:rsid w:val="005770CE"/>
    <w:rsid w:val="00577720"/>
    <w:rsid w:val="00581995"/>
    <w:rsid w:val="005827BE"/>
    <w:rsid w:val="00582B44"/>
    <w:rsid w:val="0058503B"/>
    <w:rsid w:val="00585FB8"/>
    <w:rsid w:val="00586B7D"/>
    <w:rsid w:val="00587A70"/>
    <w:rsid w:val="00590378"/>
    <w:rsid w:val="0059062C"/>
    <w:rsid w:val="005915C9"/>
    <w:rsid w:val="0059303E"/>
    <w:rsid w:val="00596F8E"/>
    <w:rsid w:val="005A2FB5"/>
    <w:rsid w:val="005A7F79"/>
    <w:rsid w:val="005B09FA"/>
    <w:rsid w:val="005B1C51"/>
    <w:rsid w:val="005B2E1F"/>
    <w:rsid w:val="005C1B5D"/>
    <w:rsid w:val="005C26A9"/>
    <w:rsid w:val="005C369B"/>
    <w:rsid w:val="005C4F8F"/>
    <w:rsid w:val="005C57FE"/>
    <w:rsid w:val="005C5DE6"/>
    <w:rsid w:val="005D2293"/>
    <w:rsid w:val="005E0DF6"/>
    <w:rsid w:val="005E1518"/>
    <w:rsid w:val="005E640D"/>
    <w:rsid w:val="005E65E6"/>
    <w:rsid w:val="005F3037"/>
    <w:rsid w:val="005F43BB"/>
    <w:rsid w:val="005F4969"/>
    <w:rsid w:val="005F6576"/>
    <w:rsid w:val="006002EC"/>
    <w:rsid w:val="0060046D"/>
    <w:rsid w:val="00600718"/>
    <w:rsid w:val="00604418"/>
    <w:rsid w:val="00604938"/>
    <w:rsid w:val="00604BAF"/>
    <w:rsid w:val="006058C5"/>
    <w:rsid w:val="006116D3"/>
    <w:rsid w:val="00612D53"/>
    <w:rsid w:val="00614AD1"/>
    <w:rsid w:val="00614F10"/>
    <w:rsid w:val="006168EE"/>
    <w:rsid w:val="00620F19"/>
    <w:rsid w:val="006214B9"/>
    <w:rsid w:val="00624E1C"/>
    <w:rsid w:val="00625A9A"/>
    <w:rsid w:val="006331D5"/>
    <w:rsid w:val="00633D72"/>
    <w:rsid w:val="00640D1B"/>
    <w:rsid w:val="0064223C"/>
    <w:rsid w:val="00642E36"/>
    <w:rsid w:val="00643BC6"/>
    <w:rsid w:val="00644DD5"/>
    <w:rsid w:val="006477C6"/>
    <w:rsid w:val="006500B0"/>
    <w:rsid w:val="00653D9C"/>
    <w:rsid w:val="00654674"/>
    <w:rsid w:val="00655AD0"/>
    <w:rsid w:val="00656647"/>
    <w:rsid w:val="00660F97"/>
    <w:rsid w:val="006635D8"/>
    <w:rsid w:val="00665058"/>
    <w:rsid w:val="006678D8"/>
    <w:rsid w:val="00671BF7"/>
    <w:rsid w:val="00672ED2"/>
    <w:rsid w:val="00673077"/>
    <w:rsid w:val="006746D1"/>
    <w:rsid w:val="00675FCC"/>
    <w:rsid w:val="00683506"/>
    <w:rsid w:val="0069258F"/>
    <w:rsid w:val="00692D45"/>
    <w:rsid w:val="0069392E"/>
    <w:rsid w:val="00693FBB"/>
    <w:rsid w:val="00695B7E"/>
    <w:rsid w:val="00696591"/>
    <w:rsid w:val="00697EE2"/>
    <w:rsid w:val="006A0BE3"/>
    <w:rsid w:val="006A3BB0"/>
    <w:rsid w:val="006A4210"/>
    <w:rsid w:val="006A6750"/>
    <w:rsid w:val="006B1EA3"/>
    <w:rsid w:val="006B2003"/>
    <w:rsid w:val="006B3579"/>
    <w:rsid w:val="006B68F0"/>
    <w:rsid w:val="006B76DA"/>
    <w:rsid w:val="006C37A0"/>
    <w:rsid w:val="006C52C2"/>
    <w:rsid w:val="006C7CFB"/>
    <w:rsid w:val="006D2471"/>
    <w:rsid w:val="006D252E"/>
    <w:rsid w:val="006E3112"/>
    <w:rsid w:val="006E46DB"/>
    <w:rsid w:val="006E49A7"/>
    <w:rsid w:val="006E4F4D"/>
    <w:rsid w:val="006E5AAF"/>
    <w:rsid w:val="006E7CF3"/>
    <w:rsid w:val="006F151F"/>
    <w:rsid w:val="006F32F3"/>
    <w:rsid w:val="006F5936"/>
    <w:rsid w:val="00704324"/>
    <w:rsid w:val="007076D2"/>
    <w:rsid w:val="007102CE"/>
    <w:rsid w:val="0071104F"/>
    <w:rsid w:val="00711157"/>
    <w:rsid w:val="00716107"/>
    <w:rsid w:val="007161DC"/>
    <w:rsid w:val="0071708B"/>
    <w:rsid w:val="00717990"/>
    <w:rsid w:val="00720C75"/>
    <w:rsid w:val="00721D5A"/>
    <w:rsid w:val="00721DE7"/>
    <w:rsid w:val="00722359"/>
    <w:rsid w:val="00723049"/>
    <w:rsid w:val="007267F2"/>
    <w:rsid w:val="00726B4F"/>
    <w:rsid w:val="00726F05"/>
    <w:rsid w:val="00730CF4"/>
    <w:rsid w:val="0073522E"/>
    <w:rsid w:val="00735D1A"/>
    <w:rsid w:val="00736E35"/>
    <w:rsid w:val="00743DE3"/>
    <w:rsid w:val="00744709"/>
    <w:rsid w:val="00745DD1"/>
    <w:rsid w:val="0074666F"/>
    <w:rsid w:val="0074710F"/>
    <w:rsid w:val="00747439"/>
    <w:rsid w:val="00751ADC"/>
    <w:rsid w:val="00752B7F"/>
    <w:rsid w:val="00756418"/>
    <w:rsid w:val="007570DE"/>
    <w:rsid w:val="0075786F"/>
    <w:rsid w:val="00757896"/>
    <w:rsid w:val="0076095A"/>
    <w:rsid w:val="007616B5"/>
    <w:rsid w:val="00762949"/>
    <w:rsid w:val="00762E05"/>
    <w:rsid w:val="00763587"/>
    <w:rsid w:val="00764CA1"/>
    <w:rsid w:val="007651C4"/>
    <w:rsid w:val="00770ACF"/>
    <w:rsid w:val="00771C50"/>
    <w:rsid w:val="007752BF"/>
    <w:rsid w:val="007757FD"/>
    <w:rsid w:val="00776E3E"/>
    <w:rsid w:val="00780E9D"/>
    <w:rsid w:val="00780F4A"/>
    <w:rsid w:val="00782E61"/>
    <w:rsid w:val="007831C9"/>
    <w:rsid w:val="00783BB4"/>
    <w:rsid w:val="007844EF"/>
    <w:rsid w:val="007847AE"/>
    <w:rsid w:val="00786AE2"/>
    <w:rsid w:val="007919CA"/>
    <w:rsid w:val="00792652"/>
    <w:rsid w:val="007944B3"/>
    <w:rsid w:val="00796CE1"/>
    <w:rsid w:val="007977EC"/>
    <w:rsid w:val="007A2937"/>
    <w:rsid w:val="007A2F40"/>
    <w:rsid w:val="007A3D04"/>
    <w:rsid w:val="007A63BB"/>
    <w:rsid w:val="007A66A4"/>
    <w:rsid w:val="007A76FC"/>
    <w:rsid w:val="007B304B"/>
    <w:rsid w:val="007B60CF"/>
    <w:rsid w:val="007B6DD6"/>
    <w:rsid w:val="007B76C2"/>
    <w:rsid w:val="007C01D3"/>
    <w:rsid w:val="007C251D"/>
    <w:rsid w:val="007C293A"/>
    <w:rsid w:val="007C343E"/>
    <w:rsid w:val="007C3F92"/>
    <w:rsid w:val="007C57CD"/>
    <w:rsid w:val="007D15C8"/>
    <w:rsid w:val="007D248C"/>
    <w:rsid w:val="007D297F"/>
    <w:rsid w:val="007D39FE"/>
    <w:rsid w:val="007D57AA"/>
    <w:rsid w:val="007D7D06"/>
    <w:rsid w:val="007E2F8E"/>
    <w:rsid w:val="007E60E5"/>
    <w:rsid w:val="007E710F"/>
    <w:rsid w:val="007E7557"/>
    <w:rsid w:val="007F2E65"/>
    <w:rsid w:val="007F32D5"/>
    <w:rsid w:val="007F3D07"/>
    <w:rsid w:val="007F4AD9"/>
    <w:rsid w:val="007F4B4A"/>
    <w:rsid w:val="007F65A8"/>
    <w:rsid w:val="007F76DA"/>
    <w:rsid w:val="008001CF"/>
    <w:rsid w:val="00800DF4"/>
    <w:rsid w:val="008123AA"/>
    <w:rsid w:val="008128FA"/>
    <w:rsid w:val="00815B84"/>
    <w:rsid w:val="00815EAD"/>
    <w:rsid w:val="00816603"/>
    <w:rsid w:val="0081710C"/>
    <w:rsid w:val="008177D9"/>
    <w:rsid w:val="00820A2C"/>
    <w:rsid w:val="00823A63"/>
    <w:rsid w:val="00826078"/>
    <w:rsid w:val="00827177"/>
    <w:rsid w:val="008276E8"/>
    <w:rsid w:val="00827990"/>
    <w:rsid w:val="00833166"/>
    <w:rsid w:val="00833D85"/>
    <w:rsid w:val="00834BC4"/>
    <w:rsid w:val="008360B8"/>
    <w:rsid w:val="00840104"/>
    <w:rsid w:val="00840696"/>
    <w:rsid w:val="00841E0C"/>
    <w:rsid w:val="00841E2F"/>
    <w:rsid w:val="008445B0"/>
    <w:rsid w:val="00845C50"/>
    <w:rsid w:val="008472FB"/>
    <w:rsid w:val="008519C6"/>
    <w:rsid w:val="00854556"/>
    <w:rsid w:val="00855AF0"/>
    <w:rsid w:val="008562A7"/>
    <w:rsid w:val="00857549"/>
    <w:rsid w:val="00857A16"/>
    <w:rsid w:val="008622C7"/>
    <w:rsid w:val="008622F4"/>
    <w:rsid w:val="008656ED"/>
    <w:rsid w:val="008673AB"/>
    <w:rsid w:val="00870B81"/>
    <w:rsid w:val="008714B2"/>
    <w:rsid w:val="008719D6"/>
    <w:rsid w:val="008729D7"/>
    <w:rsid w:val="00874AA9"/>
    <w:rsid w:val="0087565D"/>
    <w:rsid w:val="00877F6F"/>
    <w:rsid w:val="00882208"/>
    <w:rsid w:val="00891F9B"/>
    <w:rsid w:val="008931AA"/>
    <w:rsid w:val="0089445F"/>
    <w:rsid w:val="008946C7"/>
    <w:rsid w:val="008A2E79"/>
    <w:rsid w:val="008A413A"/>
    <w:rsid w:val="008A7781"/>
    <w:rsid w:val="008B34B7"/>
    <w:rsid w:val="008B49EF"/>
    <w:rsid w:val="008B6C75"/>
    <w:rsid w:val="008B7ED0"/>
    <w:rsid w:val="008C115A"/>
    <w:rsid w:val="008C2358"/>
    <w:rsid w:val="008C2429"/>
    <w:rsid w:val="008C2ECC"/>
    <w:rsid w:val="008C486B"/>
    <w:rsid w:val="008C4C74"/>
    <w:rsid w:val="008C5A0E"/>
    <w:rsid w:val="008C5EC8"/>
    <w:rsid w:val="008C6B84"/>
    <w:rsid w:val="008C7420"/>
    <w:rsid w:val="008D0496"/>
    <w:rsid w:val="008D0D3C"/>
    <w:rsid w:val="008D0FD6"/>
    <w:rsid w:val="008D3287"/>
    <w:rsid w:val="008D566A"/>
    <w:rsid w:val="008D5FAF"/>
    <w:rsid w:val="008D6203"/>
    <w:rsid w:val="008D6D88"/>
    <w:rsid w:val="008D7A9A"/>
    <w:rsid w:val="008E02E8"/>
    <w:rsid w:val="008E0DDC"/>
    <w:rsid w:val="008E1CC9"/>
    <w:rsid w:val="008E3544"/>
    <w:rsid w:val="008E55E1"/>
    <w:rsid w:val="008E60CC"/>
    <w:rsid w:val="008F3FF5"/>
    <w:rsid w:val="008F4506"/>
    <w:rsid w:val="008F561B"/>
    <w:rsid w:val="008F646B"/>
    <w:rsid w:val="008F6A26"/>
    <w:rsid w:val="00902489"/>
    <w:rsid w:val="009030A0"/>
    <w:rsid w:val="00904209"/>
    <w:rsid w:val="0090501D"/>
    <w:rsid w:val="00911851"/>
    <w:rsid w:val="00913C17"/>
    <w:rsid w:val="00913E44"/>
    <w:rsid w:val="0092116E"/>
    <w:rsid w:val="00922ED3"/>
    <w:rsid w:val="0092371B"/>
    <w:rsid w:val="00930AD5"/>
    <w:rsid w:val="009324D9"/>
    <w:rsid w:val="0093435E"/>
    <w:rsid w:val="00940665"/>
    <w:rsid w:val="009430D9"/>
    <w:rsid w:val="009446C1"/>
    <w:rsid w:val="00947C70"/>
    <w:rsid w:val="00947CDA"/>
    <w:rsid w:val="0095380F"/>
    <w:rsid w:val="00955799"/>
    <w:rsid w:val="009557B2"/>
    <w:rsid w:val="00956139"/>
    <w:rsid w:val="009601D2"/>
    <w:rsid w:val="00963A50"/>
    <w:rsid w:val="00965B25"/>
    <w:rsid w:val="00970715"/>
    <w:rsid w:val="0097219C"/>
    <w:rsid w:val="00974BE0"/>
    <w:rsid w:val="009754E3"/>
    <w:rsid w:val="00980E59"/>
    <w:rsid w:val="0099259A"/>
    <w:rsid w:val="00995AF9"/>
    <w:rsid w:val="00995B07"/>
    <w:rsid w:val="009975F9"/>
    <w:rsid w:val="009A2682"/>
    <w:rsid w:val="009A27D8"/>
    <w:rsid w:val="009A2A73"/>
    <w:rsid w:val="009A3536"/>
    <w:rsid w:val="009A5840"/>
    <w:rsid w:val="009A5CAF"/>
    <w:rsid w:val="009B037B"/>
    <w:rsid w:val="009B0B7B"/>
    <w:rsid w:val="009B460E"/>
    <w:rsid w:val="009C02B9"/>
    <w:rsid w:val="009C0D6D"/>
    <w:rsid w:val="009C1653"/>
    <w:rsid w:val="009C30E8"/>
    <w:rsid w:val="009C4A53"/>
    <w:rsid w:val="009D2220"/>
    <w:rsid w:val="009D3094"/>
    <w:rsid w:val="009D4E45"/>
    <w:rsid w:val="009E1AD5"/>
    <w:rsid w:val="009E3E5B"/>
    <w:rsid w:val="009E5C21"/>
    <w:rsid w:val="009E651E"/>
    <w:rsid w:val="009E78D1"/>
    <w:rsid w:val="009F39D9"/>
    <w:rsid w:val="009F4ED6"/>
    <w:rsid w:val="009F51C3"/>
    <w:rsid w:val="009F68ED"/>
    <w:rsid w:val="009F6A3D"/>
    <w:rsid w:val="00A00D5B"/>
    <w:rsid w:val="00A02071"/>
    <w:rsid w:val="00A048C2"/>
    <w:rsid w:val="00A05369"/>
    <w:rsid w:val="00A055CA"/>
    <w:rsid w:val="00A062A7"/>
    <w:rsid w:val="00A06A34"/>
    <w:rsid w:val="00A076E6"/>
    <w:rsid w:val="00A109D2"/>
    <w:rsid w:val="00A10B26"/>
    <w:rsid w:val="00A12554"/>
    <w:rsid w:val="00A13E09"/>
    <w:rsid w:val="00A200B8"/>
    <w:rsid w:val="00A2432B"/>
    <w:rsid w:val="00A276B4"/>
    <w:rsid w:val="00A33C6F"/>
    <w:rsid w:val="00A34682"/>
    <w:rsid w:val="00A37DFA"/>
    <w:rsid w:val="00A40348"/>
    <w:rsid w:val="00A4041D"/>
    <w:rsid w:val="00A40BFC"/>
    <w:rsid w:val="00A415E4"/>
    <w:rsid w:val="00A4595D"/>
    <w:rsid w:val="00A50742"/>
    <w:rsid w:val="00A5105D"/>
    <w:rsid w:val="00A53A59"/>
    <w:rsid w:val="00A53DBA"/>
    <w:rsid w:val="00A559E2"/>
    <w:rsid w:val="00A56BEE"/>
    <w:rsid w:val="00A61EA5"/>
    <w:rsid w:val="00A62002"/>
    <w:rsid w:val="00A662C3"/>
    <w:rsid w:val="00A677FA"/>
    <w:rsid w:val="00A70B4C"/>
    <w:rsid w:val="00A712F2"/>
    <w:rsid w:val="00A71340"/>
    <w:rsid w:val="00A7520D"/>
    <w:rsid w:val="00A763E4"/>
    <w:rsid w:val="00A7768B"/>
    <w:rsid w:val="00A81239"/>
    <w:rsid w:val="00A81447"/>
    <w:rsid w:val="00A823E5"/>
    <w:rsid w:val="00A851B4"/>
    <w:rsid w:val="00A9073D"/>
    <w:rsid w:val="00A9169E"/>
    <w:rsid w:val="00A958E7"/>
    <w:rsid w:val="00A97AC5"/>
    <w:rsid w:val="00AA0B78"/>
    <w:rsid w:val="00AA0D2B"/>
    <w:rsid w:val="00AA13A6"/>
    <w:rsid w:val="00AA2BAB"/>
    <w:rsid w:val="00AA3014"/>
    <w:rsid w:val="00AA5264"/>
    <w:rsid w:val="00AA5D1F"/>
    <w:rsid w:val="00AA7758"/>
    <w:rsid w:val="00AA78BB"/>
    <w:rsid w:val="00AA7EB6"/>
    <w:rsid w:val="00AB1676"/>
    <w:rsid w:val="00AB35F4"/>
    <w:rsid w:val="00AB3CB3"/>
    <w:rsid w:val="00AB4D6C"/>
    <w:rsid w:val="00AC1667"/>
    <w:rsid w:val="00AC21FC"/>
    <w:rsid w:val="00AC2BDF"/>
    <w:rsid w:val="00AD2F5E"/>
    <w:rsid w:val="00AD3CDC"/>
    <w:rsid w:val="00AD47C7"/>
    <w:rsid w:val="00AD54DE"/>
    <w:rsid w:val="00AD71B6"/>
    <w:rsid w:val="00AD74BD"/>
    <w:rsid w:val="00AD7520"/>
    <w:rsid w:val="00AE2D40"/>
    <w:rsid w:val="00AE3BF0"/>
    <w:rsid w:val="00AE47C7"/>
    <w:rsid w:val="00AE55B0"/>
    <w:rsid w:val="00AE7743"/>
    <w:rsid w:val="00AF0C7C"/>
    <w:rsid w:val="00AF39EF"/>
    <w:rsid w:val="00AF3A11"/>
    <w:rsid w:val="00AF4242"/>
    <w:rsid w:val="00AF4CB9"/>
    <w:rsid w:val="00AF51B3"/>
    <w:rsid w:val="00AF6E43"/>
    <w:rsid w:val="00B00D9E"/>
    <w:rsid w:val="00B01718"/>
    <w:rsid w:val="00B027AF"/>
    <w:rsid w:val="00B03212"/>
    <w:rsid w:val="00B04B41"/>
    <w:rsid w:val="00B05D51"/>
    <w:rsid w:val="00B1119C"/>
    <w:rsid w:val="00B12B38"/>
    <w:rsid w:val="00B13A70"/>
    <w:rsid w:val="00B165F6"/>
    <w:rsid w:val="00B16BBF"/>
    <w:rsid w:val="00B20478"/>
    <w:rsid w:val="00B2057B"/>
    <w:rsid w:val="00B21EBB"/>
    <w:rsid w:val="00B23374"/>
    <w:rsid w:val="00B2642F"/>
    <w:rsid w:val="00B27C61"/>
    <w:rsid w:val="00B35110"/>
    <w:rsid w:val="00B37AE0"/>
    <w:rsid w:val="00B416EA"/>
    <w:rsid w:val="00B43B62"/>
    <w:rsid w:val="00B45D38"/>
    <w:rsid w:val="00B514EF"/>
    <w:rsid w:val="00B52E2A"/>
    <w:rsid w:val="00B549B3"/>
    <w:rsid w:val="00B55342"/>
    <w:rsid w:val="00B6202A"/>
    <w:rsid w:val="00B632C1"/>
    <w:rsid w:val="00B6615D"/>
    <w:rsid w:val="00B67B43"/>
    <w:rsid w:val="00B67D0C"/>
    <w:rsid w:val="00B7086F"/>
    <w:rsid w:val="00B70939"/>
    <w:rsid w:val="00B70BB4"/>
    <w:rsid w:val="00B753CE"/>
    <w:rsid w:val="00B7651C"/>
    <w:rsid w:val="00B808DB"/>
    <w:rsid w:val="00B8108E"/>
    <w:rsid w:val="00B84714"/>
    <w:rsid w:val="00B84761"/>
    <w:rsid w:val="00B97E06"/>
    <w:rsid w:val="00BA64A0"/>
    <w:rsid w:val="00BA7874"/>
    <w:rsid w:val="00BA7CD4"/>
    <w:rsid w:val="00BB094F"/>
    <w:rsid w:val="00BB0C87"/>
    <w:rsid w:val="00BB2074"/>
    <w:rsid w:val="00BB6CEE"/>
    <w:rsid w:val="00BC689F"/>
    <w:rsid w:val="00BD0CC3"/>
    <w:rsid w:val="00BD1114"/>
    <w:rsid w:val="00BD4666"/>
    <w:rsid w:val="00BD5037"/>
    <w:rsid w:val="00BD715B"/>
    <w:rsid w:val="00BE128E"/>
    <w:rsid w:val="00BE6263"/>
    <w:rsid w:val="00BE6E0D"/>
    <w:rsid w:val="00BE7909"/>
    <w:rsid w:val="00BF4841"/>
    <w:rsid w:val="00C00571"/>
    <w:rsid w:val="00C014D3"/>
    <w:rsid w:val="00C016CA"/>
    <w:rsid w:val="00C01F89"/>
    <w:rsid w:val="00C02C20"/>
    <w:rsid w:val="00C031BF"/>
    <w:rsid w:val="00C04808"/>
    <w:rsid w:val="00C04956"/>
    <w:rsid w:val="00C109DC"/>
    <w:rsid w:val="00C131EC"/>
    <w:rsid w:val="00C1507F"/>
    <w:rsid w:val="00C16AC0"/>
    <w:rsid w:val="00C2027A"/>
    <w:rsid w:val="00C21B3A"/>
    <w:rsid w:val="00C2300E"/>
    <w:rsid w:val="00C335C3"/>
    <w:rsid w:val="00C341D8"/>
    <w:rsid w:val="00C34C54"/>
    <w:rsid w:val="00C41CA6"/>
    <w:rsid w:val="00C43BE6"/>
    <w:rsid w:val="00C4550B"/>
    <w:rsid w:val="00C5056E"/>
    <w:rsid w:val="00C521EC"/>
    <w:rsid w:val="00C57B55"/>
    <w:rsid w:val="00C65F91"/>
    <w:rsid w:val="00C6675A"/>
    <w:rsid w:val="00C67C0F"/>
    <w:rsid w:val="00C72E79"/>
    <w:rsid w:val="00C73535"/>
    <w:rsid w:val="00C76C13"/>
    <w:rsid w:val="00C80524"/>
    <w:rsid w:val="00C80ABF"/>
    <w:rsid w:val="00C82EB0"/>
    <w:rsid w:val="00C847D2"/>
    <w:rsid w:val="00C9043A"/>
    <w:rsid w:val="00C905E4"/>
    <w:rsid w:val="00C90EC4"/>
    <w:rsid w:val="00C93BD0"/>
    <w:rsid w:val="00C942EE"/>
    <w:rsid w:val="00C9467A"/>
    <w:rsid w:val="00C96FB3"/>
    <w:rsid w:val="00CA0ACB"/>
    <w:rsid w:val="00CA17E5"/>
    <w:rsid w:val="00CA465B"/>
    <w:rsid w:val="00CA7CA6"/>
    <w:rsid w:val="00CB015E"/>
    <w:rsid w:val="00CB220B"/>
    <w:rsid w:val="00CB3B1A"/>
    <w:rsid w:val="00CB3E2F"/>
    <w:rsid w:val="00CB5138"/>
    <w:rsid w:val="00CC0993"/>
    <w:rsid w:val="00CC5189"/>
    <w:rsid w:val="00CC7F24"/>
    <w:rsid w:val="00CD16BE"/>
    <w:rsid w:val="00CD29E6"/>
    <w:rsid w:val="00CD360A"/>
    <w:rsid w:val="00CD5691"/>
    <w:rsid w:val="00CD5E99"/>
    <w:rsid w:val="00CD78D9"/>
    <w:rsid w:val="00CE2996"/>
    <w:rsid w:val="00CE4241"/>
    <w:rsid w:val="00CE738E"/>
    <w:rsid w:val="00CE786F"/>
    <w:rsid w:val="00CF0845"/>
    <w:rsid w:val="00CF53B1"/>
    <w:rsid w:val="00D020AB"/>
    <w:rsid w:val="00D02366"/>
    <w:rsid w:val="00D030DA"/>
    <w:rsid w:val="00D0381F"/>
    <w:rsid w:val="00D06E82"/>
    <w:rsid w:val="00D07C6D"/>
    <w:rsid w:val="00D10027"/>
    <w:rsid w:val="00D10D7D"/>
    <w:rsid w:val="00D110B8"/>
    <w:rsid w:val="00D169DA"/>
    <w:rsid w:val="00D20BF9"/>
    <w:rsid w:val="00D248A9"/>
    <w:rsid w:val="00D25EDC"/>
    <w:rsid w:val="00D34105"/>
    <w:rsid w:val="00D35FFF"/>
    <w:rsid w:val="00D4255F"/>
    <w:rsid w:val="00D44C87"/>
    <w:rsid w:val="00D450E3"/>
    <w:rsid w:val="00D4652F"/>
    <w:rsid w:val="00D4664F"/>
    <w:rsid w:val="00D47D01"/>
    <w:rsid w:val="00D509EA"/>
    <w:rsid w:val="00D51EFF"/>
    <w:rsid w:val="00D524C4"/>
    <w:rsid w:val="00D53D69"/>
    <w:rsid w:val="00D54E70"/>
    <w:rsid w:val="00D550B9"/>
    <w:rsid w:val="00D60791"/>
    <w:rsid w:val="00D63527"/>
    <w:rsid w:val="00D66E61"/>
    <w:rsid w:val="00D723C1"/>
    <w:rsid w:val="00D72488"/>
    <w:rsid w:val="00D7308D"/>
    <w:rsid w:val="00D74314"/>
    <w:rsid w:val="00D7466F"/>
    <w:rsid w:val="00D74BD4"/>
    <w:rsid w:val="00D8253D"/>
    <w:rsid w:val="00D83A4D"/>
    <w:rsid w:val="00D84C4C"/>
    <w:rsid w:val="00D851D5"/>
    <w:rsid w:val="00D920EC"/>
    <w:rsid w:val="00D94F8C"/>
    <w:rsid w:val="00D95BA7"/>
    <w:rsid w:val="00DA02A3"/>
    <w:rsid w:val="00DA2797"/>
    <w:rsid w:val="00DA27D4"/>
    <w:rsid w:val="00DA5013"/>
    <w:rsid w:val="00DA5964"/>
    <w:rsid w:val="00DA772C"/>
    <w:rsid w:val="00DB03A5"/>
    <w:rsid w:val="00DB03EE"/>
    <w:rsid w:val="00DB11CB"/>
    <w:rsid w:val="00DB1A20"/>
    <w:rsid w:val="00DB306C"/>
    <w:rsid w:val="00DB5E71"/>
    <w:rsid w:val="00DB7FCF"/>
    <w:rsid w:val="00DC001F"/>
    <w:rsid w:val="00DC2006"/>
    <w:rsid w:val="00DC37AF"/>
    <w:rsid w:val="00DC5252"/>
    <w:rsid w:val="00DC7B79"/>
    <w:rsid w:val="00DD0522"/>
    <w:rsid w:val="00DD277A"/>
    <w:rsid w:val="00DD519A"/>
    <w:rsid w:val="00DD7F35"/>
    <w:rsid w:val="00DE047A"/>
    <w:rsid w:val="00DE0AF1"/>
    <w:rsid w:val="00DE1B71"/>
    <w:rsid w:val="00DE3D95"/>
    <w:rsid w:val="00DE6AD0"/>
    <w:rsid w:val="00DE6C1A"/>
    <w:rsid w:val="00DE7786"/>
    <w:rsid w:val="00DE7871"/>
    <w:rsid w:val="00DE7C21"/>
    <w:rsid w:val="00DF01C5"/>
    <w:rsid w:val="00DF066B"/>
    <w:rsid w:val="00DF0823"/>
    <w:rsid w:val="00DF0C88"/>
    <w:rsid w:val="00DF35E0"/>
    <w:rsid w:val="00DF3C54"/>
    <w:rsid w:val="00DF3D6E"/>
    <w:rsid w:val="00DF5947"/>
    <w:rsid w:val="00DF5D82"/>
    <w:rsid w:val="00E004B1"/>
    <w:rsid w:val="00E0295A"/>
    <w:rsid w:val="00E0498D"/>
    <w:rsid w:val="00E05989"/>
    <w:rsid w:val="00E063C5"/>
    <w:rsid w:val="00E101A9"/>
    <w:rsid w:val="00E103CA"/>
    <w:rsid w:val="00E12DEB"/>
    <w:rsid w:val="00E130F6"/>
    <w:rsid w:val="00E150F5"/>
    <w:rsid w:val="00E20513"/>
    <w:rsid w:val="00E20A8E"/>
    <w:rsid w:val="00E25243"/>
    <w:rsid w:val="00E267C0"/>
    <w:rsid w:val="00E2683C"/>
    <w:rsid w:val="00E35863"/>
    <w:rsid w:val="00E3634F"/>
    <w:rsid w:val="00E4723B"/>
    <w:rsid w:val="00E518FA"/>
    <w:rsid w:val="00E51C0B"/>
    <w:rsid w:val="00E52C81"/>
    <w:rsid w:val="00E53623"/>
    <w:rsid w:val="00E5646A"/>
    <w:rsid w:val="00E56FA7"/>
    <w:rsid w:val="00E57062"/>
    <w:rsid w:val="00E572FC"/>
    <w:rsid w:val="00E57E7F"/>
    <w:rsid w:val="00E6287F"/>
    <w:rsid w:val="00E651E5"/>
    <w:rsid w:val="00E6791A"/>
    <w:rsid w:val="00E7088C"/>
    <w:rsid w:val="00E711D9"/>
    <w:rsid w:val="00E71979"/>
    <w:rsid w:val="00E7580A"/>
    <w:rsid w:val="00E7580B"/>
    <w:rsid w:val="00E75D40"/>
    <w:rsid w:val="00E810E5"/>
    <w:rsid w:val="00E81780"/>
    <w:rsid w:val="00E8196F"/>
    <w:rsid w:val="00E82664"/>
    <w:rsid w:val="00E82F3E"/>
    <w:rsid w:val="00E84E94"/>
    <w:rsid w:val="00E94C7B"/>
    <w:rsid w:val="00EA013C"/>
    <w:rsid w:val="00EA0272"/>
    <w:rsid w:val="00EA1D0C"/>
    <w:rsid w:val="00EA250B"/>
    <w:rsid w:val="00EA261C"/>
    <w:rsid w:val="00EA5BB1"/>
    <w:rsid w:val="00EA7578"/>
    <w:rsid w:val="00EB0343"/>
    <w:rsid w:val="00EB1326"/>
    <w:rsid w:val="00EB28B9"/>
    <w:rsid w:val="00EB3473"/>
    <w:rsid w:val="00EB34D4"/>
    <w:rsid w:val="00EB3DEC"/>
    <w:rsid w:val="00EB3F29"/>
    <w:rsid w:val="00EB41DC"/>
    <w:rsid w:val="00EB65A6"/>
    <w:rsid w:val="00EB695E"/>
    <w:rsid w:val="00EB750A"/>
    <w:rsid w:val="00EC2D1F"/>
    <w:rsid w:val="00EC3222"/>
    <w:rsid w:val="00EC54B2"/>
    <w:rsid w:val="00EC56BD"/>
    <w:rsid w:val="00EC72F6"/>
    <w:rsid w:val="00EC7A7F"/>
    <w:rsid w:val="00ED05F5"/>
    <w:rsid w:val="00ED7072"/>
    <w:rsid w:val="00EE2726"/>
    <w:rsid w:val="00EE6863"/>
    <w:rsid w:val="00EE79B5"/>
    <w:rsid w:val="00EF7A10"/>
    <w:rsid w:val="00F00B12"/>
    <w:rsid w:val="00F017C8"/>
    <w:rsid w:val="00F07117"/>
    <w:rsid w:val="00F07D5E"/>
    <w:rsid w:val="00F10E80"/>
    <w:rsid w:val="00F15A97"/>
    <w:rsid w:val="00F15BFE"/>
    <w:rsid w:val="00F20A0D"/>
    <w:rsid w:val="00F20ABB"/>
    <w:rsid w:val="00F21FF1"/>
    <w:rsid w:val="00F22A0E"/>
    <w:rsid w:val="00F22C26"/>
    <w:rsid w:val="00F23082"/>
    <w:rsid w:val="00F23E2D"/>
    <w:rsid w:val="00F25F25"/>
    <w:rsid w:val="00F305CF"/>
    <w:rsid w:val="00F3112D"/>
    <w:rsid w:val="00F32B5D"/>
    <w:rsid w:val="00F32E2F"/>
    <w:rsid w:val="00F34E69"/>
    <w:rsid w:val="00F36D15"/>
    <w:rsid w:val="00F42FBF"/>
    <w:rsid w:val="00F43471"/>
    <w:rsid w:val="00F43B48"/>
    <w:rsid w:val="00F44A9E"/>
    <w:rsid w:val="00F535CD"/>
    <w:rsid w:val="00F54129"/>
    <w:rsid w:val="00F55015"/>
    <w:rsid w:val="00F5598C"/>
    <w:rsid w:val="00F6067F"/>
    <w:rsid w:val="00F63EB8"/>
    <w:rsid w:val="00F6449F"/>
    <w:rsid w:val="00F6581E"/>
    <w:rsid w:val="00F6589B"/>
    <w:rsid w:val="00F660D6"/>
    <w:rsid w:val="00F6763B"/>
    <w:rsid w:val="00F70C10"/>
    <w:rsid w:val="00F70CB4"/>
    <w:rsid w:val="00F72177"/>
    <w:rsid w:val="00F73380"/>
    <w:rsid w:val="00F73B9D"/>
    <w:rsid w:val="00F76839"/>
    <w:rsid w:val="00F8367A"/>
    <w:rsid w:val="00F8384B"/>
    <w:rsid w:val="00F83D15"/>
    <w:rsid w:val="00F841A6"/>
    <w:rsid w:val="00F84679"/>
    <w:rsid w:val="00F853A5"/>
    <w:rsid w:val="00F92950"/>
    <w:rsid w:val="00F95647"/>
    <w:rsid w:val="00F96694"/>
    <w:rsid w:val="00FA344E"/>
    <w:rsid w:val="00FA396B"/>
    <w:rsid w:val="00FA4BAE"/>
    <w:rsid w:val="00FA6E28"/>
    <w:rsid w:val="00FB11C3"/>
    <w:rsid w:val="00FB441D"/>
    <w:rsid w:val="00FB6E1D"/>
    <w:rsid w:val="00FC36BD"/>
    <w:rsid w:val="00FC5A58"/>
    <w:rsid w:val="00FC5C36"/>
    <w:rsid w:val="00FC6D2C"/>
    <w:rsid w:val="00FD3225"/>
    <w:rsid w:val="00FD39D6"/>
    <w:rsid w:val="00FE348C"/>
    <w:rsid w:val="00FF0C50"/>
    <w:rsid w:val="00FF2DFC"/>
    <w:rsid w:val="00FF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A0207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314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4C9A"/>
  </w:style>
  <w:style w:type="paragraph" w:styleId="a6">
    <w:name w:val="footer"/>
    <w:basedOn w:val="a"/>
    <w:link w:val="a7"/>
    <w:uiPriority w:val="99"/>
    <w:unhideWhenUsed/>
    <w:rsid w:val="00314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4C9A"/>
  </w:style>
  <w:style w:type="paragraph" w:styleId="a8">
    <w:name w:val="List Paragraph"/>
    <w:basedOn w:val="a"/>
    <w:uiPriority w:val="34"/>
    <w:qFormat/>
    <w:rsid w:val="007B6DD6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B6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6DD6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F00B1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next w:val="ac"/>
    <w:uiPriority w:val="1"/>
    <w:qFormat/>
    <w:rsid w:val="00472E6F"/>
    <w:pPr>
      <w:spacing w:after="0" w:line="240" w:lineRule="auto"/>
    </w:pPr>
    <w:rPr>
      <w:rFonts w:eastAsia="Times New Roman"/>
      <w:lang w:eastAsia="ru-RU"/>
    </w:rPr>
  </w:style>
  <w:style w:type="paragraph" w:styleId="ac">
    <w:name w:val="No Spacing"/>
    <w:uiPriority w:val="1"/>
    <w:qFormat/>
    <w:rsid w:val="00472E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A0207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314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4C9A"/>
  </w:style>
  <w:style w:type="paragraph" w:styleId="a6">
    <w:name w:val="footer"/>
    <w:basedOn w:val="a"/>
    <w:link w:val="a7"/>
    <w:uiPriority w:val="99"/>
    <w:unhideWhenUsed/>
    <w:rsid w:val="00314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4C9A"/>
  </w:style>
  <w:style w:type="paragraph" w:styleId="a8">
    <w:name w:val="List Paragraph"/>
    <w:basedOn w:val="a"/>
    <w:uiPriority w:val="34"/>
    <w:qFormat/>
    <w:rsid w:val="007B6DD6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B6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6DD6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F00B1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next w:val="ac"/>
    <w:uiPriority w:val="1"/>
    <w:qFormat/>
    <w:rsid w:val="00472E6F"/>
    <w:pPr>
      <w:spacing w:after="0" w:line="240" w:lineRule="auto"/>
    </w:pPr>
    <w:rPr>
      <w:rFonts w:eastAsia="Times New Roman"/>
      <w:lang w:eastAsia="ru-RU"/>
    </w:rPr>
  </w:style>
  <w:style w:type="paragraph" w:styleId="ac">
    <w:name w:val="No Spacing"/>
    <w:uiPriority w:val="1"/>
    <w:qFormat/>
    <w:rsid w:val="00472E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AB28F-A012-480B-B99B-C40B30512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5426</TotalTime>
  <Pages>1</Pages>
  <Words>2814</Words>
  <Characters>16040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User</cp:lastModifiedBy>
  <cp:revision>25</cp:revision>
  <cp:lastPrinted>2022-11-15T14:04:00Z</cp:lastPrinted>
  <dcterms:created xsi:type="dcterms:W3CDTF">2018-12-26T08:10:00Z</dcterms:created>
  <dcterms:modified xsi:type="dcterms:W3CDTF">2023-11-14T07:50:00Z</dcterms:modified>
</cp:coreProperties>
</file>