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3E" w:rsidRPr="0083383E" w:rsidRDefault="0083383E" w:rsidP="0083383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3383E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83383E" w:rsidRPr="0083383E" w:rsidRDefault="0083383E" w:rsidP="0083383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83383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83383E" w:rsidRPr="0083383E" w:rsidRDefault="0083383E" w:rsidP="008338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3383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83383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83383E" w:rsidRPr="0083383E" w:rsidRDefault="0083383E" w:rsidP="0083383E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83383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83383E">
        <w:rPr>
          <w:rFonts w:ascii="Times New Roman" w:hAnsi="Times New Roman"/>
          <w:i/>
          <w:color w:val="000000"/>
          <w:sz w:val="24"/>
          <w:szCs w:val="24"/>
        </w:rPr>
        <w:br/>
      </w:r>
      <w:r w:rsidRPr="0083383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83383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83383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6"/>
          <w:szCs w:val="16"/>
          <w:lang w:eastAsia="ru-RU"/>
        </w:rPr>
      </w:pP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83383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83383E" w:rsidRPr="000F19DE" w:rsidTr="0053276A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83383E" w:rsidRPr="0083383E" w:rsidRDefault="0083383E" w:rsidP="00532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08" w:type="dxa"/>
          </w:tcPr>
          <w:p w:rsidR="0083383E" w:rsidRPr="0083383E" w:rsidRDefault="0083383E" w:rsidP="00532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83383E" w:rsidRPr="000F19DE" w:rsidRDefault="0083383E" w:rsidP="005327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3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83383E" w:rsidRPr="000F19DE" w:rsidTr="0053276A">
        <w:tc>
          <w:tcPr>
            <w:tcW w:w="3122" w:type="dxa"/>
            <w:tcBorders>
              <w:top w:val="single" w:sz="4" w:space="0" w:color="auto"/>
            </w:tcBorders>
          </w:tcPr>
          <w:p w:rsidR="0083383E" w:rsidRPr="000B5EC4" w:rsidRDefault="0083383E" w:rsidP="00532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B5EC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83383E" w:rsidRPr="000F19DE" w:rsidRDefault="0083383E" w:rsidP="00532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83383E" w:rsidRPr="000F19DE" w:rsidRDefault="0083383E" w:rsidP="00532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3383E" w:rsidRPr="000F19DE" w:rsidRDefault="0083383E" w:rsidP="00532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83383E" w:rsidRPr="000F19DE" w:rsidRDefault="0083383E" w:rsidP="00532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83383E" w:rsidRPr="000F19DE" w:rsidTr="0053276A">
        <w:trPr>
          <w:gridAfter w:val="1"/>
          <w:wAfter w:w="766" w:type="dxa"/>
        </w:trPr>
        <w:tc>
          <w:tcPr>
            <w:tcW w:w="3122" w:type="dxa"/>
          </w:tcPr>
          <w:p w:rsidR="0083383E" w:rsidRPr="000F19DE" w:rsidRDefault="0083383E" w:rsidP="00532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83383E" w:rsidRPr="000F19DE" w:rsidRDefault="0083383E" w:rsidP="00532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83383E" w:rsidRPr="000F19DE" w:rsidRDefault="0083383E" w:rsidP="00532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383E" w:rsidRPr="00636FCF" w:rsidRDefault="0083383E" w:rsidP="0083383E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3383E" w:rsidRPr="00CF24DD" w:rsidTr="0053276A">
        <w:tc>
          <w:tcPr>
            <w:tcW w:w="9356" w:type="dxa"/>
          </w:tcPr>
          <w:p w:rsidR="0083383E" w:rsidRPr="00C37D24" w:rsidRDefault="0083383E" w:rsidP="0083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орядке применения средств </w:t>
            </w:r>
            <w:proofErr w:type="spellStart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видеорегистрации</w:t>
            </w:r>
            <w:proofErr w:type="spellEnd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видеофиксации</w:t>
            </w:r>
            <w:proofErr w:type="spellEnd"/>
            <w:r w:rsidRPr="00800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при проведении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лавы Сельского поселения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Колгуевский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Заполярного района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енецкого автономного округа </w:t>
            </w:r>
          </w:p>
        </w:tc>
      </w:tr>
    </w:tbl>
    <w:p w:rsidR="0083383E" w:rsidRPr="00C37D24" w:rsidRDefault="0083383E" w:rsidP="0083383E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83383E" w:rsidRDefault="0083383E" w:rsidP="0083383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5EAD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гласности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участковой </w:t>
      </w:r>
      <w:r w:rsidRPr="00135EAD">
        <w:rPr>
          <w:rFonts w:ascii="Times New Roman" w:hAnsi="Times New Roman" w:cs="Times New Roman"/>
          <w:sz w:val="24"/>
          <w:szCs w:val="24"/>
        </w:rPr>
        <w:t>избирательн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35EAD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 xml:space="preserve">и №5, </w:t>
      </w:r>
      <w:r w:rsidRPr="00135EA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135EAD">
          <w:rPr>
            <w:rFonts w:ascii="Times New Roman" w:hAnsi="Times New Roman" w:cs="Times New Roman"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sz w:val="24"/>
            <w:szCs w:val="24"/>
          </w:rPr>
          <w:t>ем</w:t>
        </w:r>
      </w:hyperlink>
      <w:r w:rsidRPr="00135EAD">
        <w:rPr>
          <w:rFonts w:ascii="Times New Roman" w:hAnsi="Times New Roman" w:cs="Times New Roman"/>
          <w:sz w:val="24"/>
          <w:szCs w:val="24"/>
        </w:rPr>
        <w:t xml:space="preserve"> Центральной избирательной комиссии Российской Федерации от 18 июля 2021 года № 168/1387-7 «О применении средств видеонаблюдения и трансляции изображения в сети интернет, а также хранения соответствующих видеозаписей на выборах в 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proofErr w:type="gramEnd"/>
      <w:r w:rsidRPr="00135E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F24D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постановлениями Избирательной комиссии Ненецкого автономного округа от 31 мая 2022 года № </w:t>
      </w:r>
      <w:r w:rsidRPr="00051B85">
        <w:rPr>
          <w:rFonts w:ascii="Times New Roman" w:hAnsi="Times New Roman" w:cs="Times New Roman"/>
          <w:bCs/>
          <w:sz w:val="24"/>
          <w:szCs w:val="24"/>
        </w:rPr>
        <w:t>9/40-8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51B85">
        <w:rPr>
          <w:rFonts w:ascii="Times New Roman" w:hAnsi="Times New Roman" w:cs="Times New Roman"/>
          <w:sz w:val="24"/>
          <w:szCs w:val="24"/>
        </w:rPr>
        <w:t xml:space="preserve">О Типовом порядке применения средств </w:t>
      </w:r>
      <w:proofErr w:type="spellStart"/>
      <w:r w:rsidRPr="00051B85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051B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1B85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051B85">
        <w:rPr>
          <w:rFonts w:ascii="Times New Roman" w:hAnsi="Times New Roman" w:cs="Times New Roman"/>
          <w:sz w:val="24"/>
          <w:szCs w:val="24"/>
        </w:rPr>
        <w:t>) при проведении муниципальных выборов в муниципальных образованиях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C1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4676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20.06.2024 №</w:t>
      </w:r>
      <w:r w:rsidR="00467678">
        <w:rPr>
          <w:rFonts w:ascii="Times New Roman" w:hAnsi="Times New Roman"/>
          <w:sz w:val="24"/>
          <w:szCs w:val="24"/>
        </w:rPr>
        <w:t xml:space="preserve"> 46</w:t>
      </w:r>
      <w:r>
        <w:rPr>
          <w:rFonts w:ascii="Times New Roman" w:hAnsi="Times New Roman"/>
          <w:sz w:val="24"/>
          <w:szCs w:val="24"/>
        </w:rPr>
        <w:t xml:space="preserve"> «О возложении полномочий по подготовке и проведению муниципальных выборов и референдумов на территории Сельских поселений Заполярного района Ненецкого автономного округа на участковые избирательные комиссии»,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467678">
        <w:rPr>
          <w:rFonts w:ascii="Times New Roman" w:hAnsi="Times New Roman"/>
          <w:sz w:val="24"/>
          <w:szCs w:val="24"/>
        </w:rPr>
        <w:t xml:space="preserve">5 </w:t>
      </w:r>
      <w:r w:rsidRPr="00CF24DD">
        <w:rPr>
          <w:rFonts w:ascii="Times New Roman" w:hAnsi="Times New Roman"/>
          <w:sz w:val="24"/>
          <w:szCs w:val="24"/>
        </w:rPr>
        <w:t>РЕШИЛА:</w:t>
      </w:r>
    </w:p>
    <w:p w:rsidR="0083383E" w:rsidRPr="009B45BD" w:rsidRDefault="0083383E" w:rsidP="00833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Утвердить Порядок </w:t>
      </w:r>
      <w:r w:rsidRPr="009B45BD">
        <w:rPr>
          <w:rFonts w:ascii="Times New Roman" w:hAnsi="Times New Roman" w:cs="Times New Roman"/>
          <w:sz w:val="24"/>
          <w:szCs w:val="24"/>
        </w:rPr>
        <w:t xml:space="preserve">применения средств </w:t>
      </w:r>
      <w:proofErr w:type="spellStart"/>
      <w:r w:rsidRPr="009B45B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9B4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5B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9B45BD">
        <w:rPr>
          <w:rFonts w:ascii="Times New Roman" w:hAnsi="Times New Roman" w:cs="Times New Roman"/>
          <w:sz w:val="24"/>
          <w:szCs w:val="24"/>
        </w:rPr>
        <w:t>) при проведении выборов Главы Сельского поселения «</w:t>
      </w:r>
      <w:r w:rsidR="00467678">
        <w:rPr>
          <w:rFonts w:ascii="Times New Roman" w:hAnsi="Times New Roman" w:cs="Times New Roman"/>
          <w:sz w:val="24"/>
          <w:szCs w:val="24"/>
        </w:rPr>
        <w:t>Колгуевский</w:t>
      </w:r>
      <w:r w:rsidRPr="009B45B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9F6E14">
        <w:rPr>
          <w:rFonts w:ascii="Times New Roman" w:hAnsi="Times New Roman" w:cs="Times New Roman"/>
          <w:sz w:val="24"/>
          <w:szCs w:val="24"/>
        </w:rPr>
        <w:t xml:space="preserve"> </w:t>
      </w:r>
      <w:r w:rsidR="009F6E14" w:rsidRPr="009F6E14">
        <w:rPr>
          <w:rFonts w:ascii="Times New Roman" w:hAnsi="Times New Roman" w:cs="Times New Roman"/>
          <w:sz w:val="24"/>
          <w:szCs w:val="24"/>
        </w:rPr>
        <w:t>(депутатов Совета депутатов Сельского поселения «Колгуевский сельсовет» Заполярного района Ненецкого автономного округа</w:t>
      </w:r>
      <w:r w:rsidR="009F6E14">
        <w:rPr>
          <w:rFonts w:ascii="Times New Roman" w:hAnsi="Times New Roman" w:cs="Times New Roman"/>
          <w:sz w:val="24"/>
          <w:szCs w:val="24"/>
        </w:rPr>
        <w:t>, нового созыва</w:t>
      </w:r>
      <w:r w:rsidR="009F6E14" w:rsidRPr="009F6E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83E" w:rsidRPr="00CF24DD" w:rsidRDefault="0083383E" w:rsidP="0083383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67678"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83E" w:rsidRDefault="0083383E" w:rsidP="0083383E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467678">
        <w:rPr>
          <w:rFonts w:ascii="Times New Roman" w:hAnsi="Times New Roman" w:cs="Times New Roman"/>
          <w:sz w:val="24"/>
          <w:szCs w:val="24"/>
        </w:rPr>
        <w:t>5 Коскову Е.В.</w:t>
      </w:r>
    </w:p>
    <w:p w:rsidR="0083383E" w:rsidRDefault="0083383E" w:rsidP="0083383E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3383E" w:rsidTr="0053276A">
        <w:tc>
          <w:tcPr>
            <w:tcW w:w="4927" w:type="dxa"/>
          </w:tcPr>
          <w:p w:rsidR="0083383E" w:rsidRDefault="0083383E" w:rsidP="00467678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467678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83383E" w:rsidRDefault="0083383E" w:rsidP="0053276A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3383E" w:rsidRDefault="0083383E" w:rsidP="004676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467678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83383E" w:rsidTr="0053276A">
        <w:tc>
          <w:tcPr>
            <w:tcW w:w="4927" w:type="dxa"/>
          </w:tcPr>
          <w:p w:rsidR="0083383E" w:rsidRDefault="0083383E" w:rsidP="0053276A">
            <w:pPr>
              <w:jc w:val="both"/>
              <w:rPr>
                <w:bCs/>
                <w:sz w:val="24"/>
                <w:szCs w:val="24"/>
              </w:rPr>
            </w:pPr>
          </w:p>
          <w:p w:rsidR="0083383E" w:rsidRDefault="0083383E" w:rsidP="00467678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467678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83383E" w:rsidRDefault="0083383E" w:rsidP="0053276A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3383E" w:rsidRDefault="00467678" w:rsidP="004676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83383E" w:rsidRPr="00AD0BA8">
              <w:rPr>
                <w:bCs/>
                <w:sz w:val="24"/>
                <w:szCs w:val="24"/>
              </w:rPr>
              <w:t>_________</w:t>
            </w:r>
            <w:r w:rsidR="0083383E">
              <w:rPr>
                <w:bCs/>
                <w:sz w:val="24"/>
                <w:szCs w:val="24"/>
              </w:rPr>
              <w:t>__</w:t>
            </w:r>
            <w:r w:rsidR="0083383E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83383E" w:rsidRPr="00467678" w:rsidRDefault="0083383E" w:rsidP="00467678">
      <w:pPr>
        <w:spacing w:after="0" w:line="240" w:lineRule="auto"/>
        <w:jc w:val="center"/>
        <w:sectPr w:rsidR="0083383E" w:rsidRPr="00467678" w:rsidSect="000B5EC4">
          <w:pgSz w:w="11906" w:h="16838"/>
          <w:pgMar w:top="851" w:right="849" w:bottom="851" w:left="1418" w:header="0" w:footer="0" w:gutter="0"/>
          <w:cols w:space="720"/>
          <w:docGrid w:linePitch="299"/>
        </w:sectPr>
      </w:pPr>
    </w:p>
    <w:p w:rsidR="0083383E" w:rsidRDefault="0083383E" w:rsidP="00467678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83E" w:rsidRPr="00485F73" w:rsidRDefault="0083383E" w:rsidP="008338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t>Приложение к постановлению</w:t>
      </w:r>
      <w:r w:rsidRPr="00485F73">
        <w:rPr>
          <w:rFonts w:ascii="Times New Roman" w:hAnsi="Times New Roman" w:cs="Times New Roman"/>
        </w:rPr>
        <w:br/>
        <w:t xml:space="preserve">участковой избирательной комиссии </w:t>
      </w:r>
      <w:r w:rsidRPr="00485F73">
        <w:rPr>
          <w:rFonts w:ascii="Times New Roman" w:hAnsi="Times New Roman" w:cs="Times New Roman"/>
        </w:rPr>
        <w:br/>
        <w:t xml:space="preserve">избирательного участка № </w:t>
      </w:r>
      <w:r w:rsidR="00467678">
        <w:rPr>
          <w:rFonts w:ascii="Times New Roman" w:hAnsi="Times New Roman" w:cs="Times New Roman"/>
        </w:rPr>
        <w:t>5</w:t>
      </w:r>
      <w:r w:rsidRPr="00485F73">
        <w:rPr>
          <w:rFonts w:ascii="Times New Roman" w:hAnsi="Times New Roman" w:cs="Times New Roman"/>
        </w:rPr>
        <w:t xml:space="preserve"> </w:t>
      </w:r>
      <w:r w:rsidRPr="00485F73">
        <w:rPr>
          <w:rFonts w:ascii="Times New Roman" w:hAnsi="Times New Roman" w:cs="Times New Roman"/>
        </w:rPr>
        <w:br/>
        <w:t xml:space="preserve">от </w:t>
      </w:r>
      <w:r w:rsidR="00467678">
        <w:rPr>
          <w:rFonts w:ascii="Times New Roman" w:hAnsi="Times New Roman" w:cs="Times New Roman"/>
        </w:rPr>
        <w:t xml:space="preserve"> 24.06.2024 </w:t>
      </w:r>
      <w:r w:rsidRPr="00485F73">
        <w:rPr>
          <w:rFonts w:ascii="Times New Roman" w:hAnsi="Times New Roman" w:cs="Times New Roman"/>
        </w:rPr>
        <w:t xml:space="preserve"> № </w:t>
      </w:r>
      <w:r w:rsidR="00467678">
        <w:rPr>
          <w:rFonts w:ascii="Times New Roman" w:hAnsi="Times New Roman" w:cs="Times New Roman"/>
        </w:rPr>
        <w:t>74</w:t>
      </w:r>
    </w:p>
    <w:p w:rsidR="0083383E" w:rsidRPr="00050623" w:rsidRDefault="0083383E" w:rsidP="0083383E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83383E" w:rsidRPr="00485F73" w:rsidRDefault="0083383E" w:rsidP="008338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3383E" w:rsidRPr="00485F73" w:rsidRDefault="0083383E" w:rsidP="008338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 xml:space="preserve">применения средств </w:t>
      </w:r>
      <w:proofErr w:type="spellStart"/>
      <w:r w:rsidRPr="00485F73">
        <w:rPr>
          <w:rFonts w:ascii="Times New Roman" w:hAnsi="Times New Roman" w:cs="Times New Roman"/>
          <w:b/>
          <w:sz w:val="24"/>
          <w:szCs w:val="24"/>
        </w:rPr>
        <w:t>видеорегистрации</w:t>
      </w:r>
      <w:proofErr w:type="spellEnd"/>
      <w:r w:rsidRPr="00485F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85F73">
        <w:rPr>
          <w:rFonts w:ascii="Times New Roman" w:hAnsi="Times New Roman" w:cs="Times New Roman"/>
          <w:b/>
          <w:sz w:val="24"/>
          <w:szCs w:val="24"/>
        </w:rPr>
        <w:t>видеофиксации</w:t>
      </w:r>
      <w:proofErr w:type="spellEnd"/>
      <w:r w:rsidRPr="00485F73">
        <w:rPr>
          <w:rFonts w:ascii="Times New Roman" w:hAnsi="Times New Roman" w:cs="Times New Roman"/>
          <w:b/>
          <w:sz w:val="24"/>
          <w:szCs w:val="24"/>
        </w:rPr>
        <w:t xml:space="preserve">) при проведении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выборов Главы Сельского поселения «</w:t>
      </w:r>
      <w:r w:rsidR="00467678">
        <w:rPr>
          <w:rFonts w:ascii="Times New Roman" w:hAnsi="Times New Roman" w:cs="Times New Roman"/>
          <w:b/>
          <w:bCs/>
          <w:sz w:val="24"/>
          <w:szCs w:val="24"/>
        </w:rPr>
        <w:t>Колгуевский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 (депутатов Совета депутатов Сельского поселения «</w:t>
      </w:r>
      <w:r w:rsidR="00467678">
        <w:rPr>
          <w:rFonts w:ascii="Times New Roman" w:hAnsi="Times New Roman" w:cs="Times New Roman"/>
          <w:b/>
          <w:bCs/>
          <w:sz w:val="24"/>
          <w:szCs w:val="24"/>
        </w:rPr>
        <w:t>Колгуевский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="009F6E14">
        <w:rPr>
          <w:rFonts w:ascii="Times New Roman" w:hAnsi="Times New Roman" w:cs="Times New Roman"/>
          <w:b/>
          <w:bCs/>
          <w:sz w:val="24"/>
          <w:szCs w:val="24"/>
        </w:rPr>
        <w:t>, нового созыва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3383E" w:rsidRPr="00DC6D0D" w:rsidRDefault="0083383E" w:rsidP="008338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83E" w:rsidRPr="00DC6D0D" w:rsidRDefault="0083383E" w:rsidP="0083383E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C6D0D">
        <w:rPr>
          <w:rFonts w:ascii="Times New Roman" w:hAnsi="Times New Roman" w:cs="Times New Roman"/>
          <w:b/>
          <w:kern w:val="1"/>
          <w:sz w:val="24"/>
          <w:szCs w:val="24"/>
        </w:rPr>
        <w:t> </w:t>
      </w: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Общие положения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1.1. </w:t>
      </w:r>
      <w:r w:rsidRPr="00DC6D0D">
        <w:rPr>
          <w:rFonts w:ascii="Times New Roman" w:hAnsi="Times New Roman" w:cs="Times New Roman"/>
          <w:sz w:val="24"/>
          <w:szCs w:val="24"/>
        </w:rPr>
        <w:t xml:space="preserve">Порядок применения средств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при проведении муниципальных выборов в муниципальных образованиях Ненецкого автономного округа (далее – Порядок) регламентирует организацию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в помещениях для голосования участковых избирательных комиссий (далее – УИК), определяет объекты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), время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), порядок доступа к видеозаписям, полученным в ходе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>), и сроки их хранения.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1.2. 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применяют в помещениях для голосования, не оборудованных средствами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видеотрансляции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в сеть Интернет.</w:t>
      </w:r>
    </w:p>
    <w:p w:rsidR="0083383E" w:rsidRPr="00DC6D0D" w:rsidRDefault="0083383E" w:rsidP="008338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1.3. 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представляют собой устройства стационарного или передвижного типа, предназначенные для записи и хранения видеоинформации. 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помимо записи изображения должны осуществлять звукозапись. </w:t>
      </w:r>
    </w:p>
    <w:p w:rsidR="0083383E" w:rsidRPr="00DC6D0D" w:rsidRDefault="0083383E" w:rsidP="008338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1.4. 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) могут предоставляться избирательным комиссиям органами государственной власти или органами местного </w:t>
      </w:r>
      <w:proofErr w:type="gramStart"/>
      <w:r w:rsidRPr="00DC6D0D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DC6D0D">
        <w:rPr>
          <w:rFonts w:ascii="Times New Roman" w:hAnsi="Times New Roman" w:cs="Times New Roman"/>
          <w:sz w:val="24"/>
          <w:szCs w:val="24"/>
        </w:rPr>
        <w:t xml:space="preserve"> в рамках установленной законом обязанности по оказанию избирательным комиссиям содействия в реализации их полномочий.</w:t>
      </w:r>
    </w:p>
    <w:p w:rsidR="0083383E" w:rsidRPr="00DC6D0D" w:rsidRDefault="0083383E" w:rsidP="008338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1.5. Средства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>) могут быть приобретены организующей выборы избирательной комиссией за счет средств местного бюджета, выделенных на подготовку и проведение выборов.</w:t>
      </w:r>
    </w:p>
    <w:p w:rsidR="0083383E" w:rsidRPr="00DC6D0D" w:rsidRDefault="0083383E" w:rsidP="0083383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1.6. В зоне видимости средств 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sz w:val="24"/>
          <w:szCs w:val="24"/>
        </w:rPr>
        <w:t>) должны находиться:</w:t>
      </w:r>
    </w:p>
    <w:p w:rsidR="0083383E" w:rsidRPr="00DC6D0D" w:rsidRDefault="0083383E" w:rsidP="00833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стационарные ящики для голосования во время голосования, </w:t>
      </w:r>
    </w:p>
    <w:p w:rsidR="0083383E" w:rsidRPr="00DC6D0D" w:rsidRDefault="0083383E" w:rsidP="00833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комплексы обработки избирательных бюллетеней, в случае их использования на участке,</w:t>
      </w:r>
    </w:p>
    <w:p w:rsidR="0083383E" w:rsidRPr="00DC6D0D" w:rsidRDefault="0083383E" w:rsidP="00833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проведения подсчета голосов избирателей, составления протокола УИК, проведения итогового заседания УИК,</w:t>
      </w:r>
    </w:p>
    <w:p w:rsidR="0083383E" w:rsidRPr="00DC6D0D" w:rsidRDefault="0083383E" w:rsidP="0083383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места хранения бюллетеней, а также места, где производятся действия по перемещению бюллетеней, их пересчету, передаче.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1.7.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должна начинаться в день голосования вместе с началом голосования, а заканчиваться после подписания протокола об итогах голосования на избирательном участке.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1.8. При многодневном голосовании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должна проводиться круглосуточно и начинаться в первый день голосования вместе с началом голосования, а заканчиваться в последний день голосования после подписания протокола об итогах голосования на избирательном участке.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 случае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,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если устройства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не обладают возможностью осуществлять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видеорегистрацию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видеофиксацию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в отсутствии освещения (в режиме ночной съемки), то в темное время суток должно быть организовано освещение в помещении для голосования.</w:t>
      </w:r>
    </w:p>
    <w:p w:rsidR="0083383E" w:rsidRPr="00DC6D0D" w:rsidRDefault="0083383E" w:rsidP="00833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1.9. Размер (емкость) памяти используемого 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должен быть достаточен для хранения видеоизображения в течение всего времени работы устройства в дни голосования.</w:t>
      </w:r>
    </w:p>
    <w:p w:rsidR="0083383E" w:rsidRPr="00DC6D0D" w:rsidRDefault="0083383E" w:rsidP="0083383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1.10. 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применяются с учетом положений статьи 152.1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ии и ее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распространению.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1.11. При входе, а также внутри помещений, где применяются 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на видном месте должны быть размещены одно либо несколько объявлений формата А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4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с надписью «В помещении ведется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видеофиксация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)».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1.12. Видеозаписи, полученные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), хранятся в избирательной комиссии, организующей выборы и в Избирательной комиссии Ненецкого автономного округа. Избирательная комиссия, организующая выборы или территориальная избирательная комиссия организует сбор видеозаписей, полученных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с избирательных участков, применявших средства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и после завершения избирательных процедур на избирательном участке, представляет на внешнем носителе собранные видеоизображения в Избирательную комиссию Ненецкого автономного округа.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1.14. Видеозаписи, полученные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) хранятся в течение трех месяцев со дня официального опубликования результатов выборов. </w:t>
      </w:r>
    </w:p>
    <w:p w:rsidR="0083383E" w:rsidRPr="00DC6D0D" w:rsidRDefault="0083383E" w:rsidP="0083383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1.15. Видеоизображения, полученные с использованием средств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видеофиксации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в случае необходимости используются вышестоящими избирательными комиссиями при рассмотрении вопросов об оспаривании решений нижестоящих избирательных комиссий об итогах голосования.</w:t>
      </w:r>
    </w:p>
    <w:p w:rsidR="0083383E" w:rsidRDefault="0083383E" w:rsidP="0083383E">
      <w:pPr>
        <w:jc w:val="center"/>
        <w:rPr>
          <w:sz w:val="2"/>
        </w:rPr>
      </w:pPr>
    </w:p>
    <w:p w:rsidR="0083383E" w:rsidRDefault="0083383E" w:rsidP="0083383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77882" w:rsidRDefault="00077882"/>
    <w:sectPr w:rsidR="00077882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383E"/>
    <w:rsid w:val="000009BE"/>
    <w:rsid w:val="00003351"/>
    <w:rsid w:val="000140F9"/>
    <w:rsid w:val="0001530A"/>
    <w:rsid w:val="00016DA5"/>
    <w:rsid w:val="000171D2"/>
    <w:rsid w:val="000217E4"/>
    <w:rsid w:val="00024495"/>
    <w:rsid w:val="000245AE"/>
    <w:rsid w:val="00027CE4"/>
    <w:rsid w:val="0003480E"/>
    <w:rsid w:val="0004112D"/>
    <w:rsid w:val="00044232"/>
    <w:rsid w:val="00050D09"/>
    <w:rsid w:val="0005440E"/>
    <w:rsid w:val="000556C2"/>
    <w:rsid w:val="00061627"/>
    <w:rsid w:val="00065B9D"/>
    <w:rsid w:val="00072A50"/>
    <w:rsid w:val="000748BF"/>
    <w:rsid w:val="00077882"/>
    <w:rsid w:val="00083A5A"/>
    <w:rsid w:val="00093DEF"/>
    <w:rsid w:val="000A6EF3"/>
    <w:rsid w:val="000B4596"/>
    <w:rsid w:val="000D2016"/>
    <w:rsid w:val="000D2DB4"/>
    <w:rsid w:val="000E0BD6"/>
    <w:rsid w:val="001024AB"/>
    <w:rsid w:val="0010402F"/>
    <w:rsid w:val="00112119"/>
    <w:rsid w:val="0011377D"/>
    <w:rsid w:val="00140CC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0FA3"/>
    <w:rsid w:val="001815C4"/>
    <w:rsid w:val="00183051"/>
    <w:rsid w:val="00194CD3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246B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108DC"/>
    <w:rsid w:val="00211C3C"/>
    <w:rsid w:val="00223B38"/>
    <w:rsid w:val="002276F3"/>
    <w:rsid w:val="00231626"/>
    <w:rsid w:val="00232F8B"/>
    <w:rsid w:val="00235DC3"/>
    <w:rsid w:val="00242626"/>
    <w:rsid w:val="002446EC"/>
    <w:rsid w:val="00254110"/>
    <w:rsid w:val="00263387"/>
    <w:rsid w:val="002670CC"/>
    <w:rsid w:val="00270048"/>
    <w:rsid w:val="00291184"/>
    <w:rsid w:val="0029475E"/>
    <w:rsid w:val="002A02E6"/>
    <w:rsid w:val="002A588A"/>
    <w:rsid w:val="002B08B9"/>
    <w:rsid w:val="002B188C"/>
    <w:rsid w:val="002C72C2"/>
    <w:rsid w:val="002D05D5"/>
    <w:rsid w:val="002D0D92"/>
    <w:rsid w:val="002D476E"/>
    <w:rsid w:val="002E513A"/>
    <w:rsid w:val="002F0490"/>
    <w:rsid w:val="002F733D"/>
    <w:rsid w:val="00307CE7"/>
    <w:rsid w:val="00310438"/>
    <w:rsid w:val="0031449B"/>
    <w:rsid w:val="00316856"/>
    <w:rsid w:val="003176F1"/>
    <w:rsid w:val="00323AB8"/>
    <w:rsid w:val="00324EC8"/>
    <w:rsid w:val="00346538"/>
    <w:rsid w:val="00347CE8"/>
    <w:rsid w:val="0035078B"/>
    <w:rsid w:val="00351D91"/>
    <w:rsid w:val="0035788E"/>
    <w:rsid w:val="00362706"/>
    <w:rsid w:val="00367768"/>
    <w:rsid w:val="00372E95"/>
    <w:rsid w:val="00387A01"/>
    <w:rsid w:val="00390D17"/>
    <w:rsid w:val="003928B0"/>
    <w:rsid w:val="003A0F4B"/>
    <w:rsid w:val="003A10C5"/>
    <w:rsid w:val="003A11C9"/>
    <w:rsid w:val="003A1DB9"/>
    <w:rsid w:val="003B39E1"/>
    <w:rsid w:val="003B3E18"/>
    <w:rsid w:val="003C0566"/>
    <w:rsid w:val="003C3782"/>
    <w:rsid w:val="003D27A3"/>
    <w:rsid w:val="003D4587"/>
    <w:rsid w:val="003D7EC0"/>
    <w:rsid w:val="003E0A72"/>
    <w:rsid w:val="003E103A"/>
    <w:rsid w:val="003E294B"/>
    <w:rsid w:val="003E4E5A"/>
    <w:rsid w:val="003E5A5F"/>
    <w:rsid w:val="003E6244"/>
    <w:rsid w:val="003F5857"/>
    <w:rsid w:val="004011CC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67678"/>
    <w:rsid w:val="00476061"/>
    <w:rsid w:val="00477EF1"/>
    <w:rsid w:val="0048115B"/>
    <w:rsid w:val="0048124F"/>
    <w:rsid w:val="00482E46"/>
    <w:rsid w:val="004A0CB0"/>
    <w:rsid w:val="004A3A3C"/>
    <w:rsid w:val="004A562A"/>
    <w:rsid w:val="004A6869"/>
    <w:rsid w:val="004B28D7"/>
    <w:rsid w:val="004B35E4"/>
    <w:rsid w:val="004C4454"/>
    <w:rsid w:val="004C59C2"/>
    <w:rsid w:val="004D11AE"/>
    <w:rsid w:val="004D3621"/>
    <w:rsid w:val="004D41C9"/>
    <w:rsid w:val="004F020F"/>
    <w:rsid w:val="004F63D7"/>
    <w:rsid w:val="004F647A"/>
    <w:rsid w:val="00503F39"/>
    <w:rsid w:val="00504DD3"/>
    <w:rsid w:val="00507DA8"/>
    <w:rsid w:val="00507F0A"/>
    <w:rsid w:val="00514E1F"/>
    <w:rsid w:val="00527EC3"/>
    <w:rsid w:val="005302FF"/>
    <w:rsid w:val="00530ABB"/>
    <w:rsid w:val="00533CB4"/>
    <w:rsid w:val="00542924"/>
    <w:rsid w:val="00552885"/>
    <w:rsid w:val="005652A1"/>
    <w:rsid w:val="005755F8"/>
    <w:rsid w:val="00585F84"/>
    <w:rsid w:val="00597E0B"/>
    <w:rsid w:val="005A1803"/>
    <w:rsid w:val="005A4A4D"/>
    <w:rsid w:val="005A73A7"/>
    <w:rsid w:val="005A7C65"/>
    <w:rsid w:val="005B0911"/>
    <w:rsid w:val="005B211D"/>
    <w:rsid w:val="005B45F8"/>
    <w:rsid w:val="005B48C2"/>
    <w:rsid w:val="005B7A83"/>
    <w:rsid w:val="005C5A18"/>
    <w:rsid w:val="005D29D5"/>
    <w:rsid w:val="005D36A6"/>
    <w:rsid w:val="005D704A"/>
    <w:rsid w:val="005E3D24"/>
    <w:rsid w:val="005E4924"/>
    <w:rsid w:val="005E7A3D"/>
    <w:rsid w:val="005F1723"/>
    <w:rsid w:val="005F4164"/>
    <w:rsid w:val="005F5777"/>
    <w:rsid w:val="005F6EE9"/>
    <w:rsid w:val="005F7F22"/>
    <w:rsid w:val="00600203"/>
    <w:rsid w:val="006021D5"/>
    <w:rsid w:val="00612E03"/>
    <w:rsid w:val="006135BD"/>
    <w:rsid w:val="00615E9E"/>
    <w:rsid w:val="00621A9C"/>
    <w:rsid w:val="00625F0F"/>
    <w:rsid w:val="006325A5"/>
    <w:rsid w:val="006330DE"/>
    <w:rsid w:val="00634721"/>
    <w:rsid w:val="00641BD9"/>
    <w:rsid w:val="0064338B"/>
    <w:rsid w:val="006434D9"/>
    <w:rsid w:val="00644183"/>
    <w:rsid w:val="00652FDB"/>
    <w:rsid w:val="006542C1"/>
    <w:rsid w:val="00670468"/>
    <w:rsid w:val="00674CE2"/>
    <w:rsid w:val="0068095A"/>
    <w:rsid w:val="00687493"/>
    <w:rsid w:val="00687B66"/>
    <w:rsid w:val="0069407A"/>
    <w:rsid w:val="00696BF5"/>
    <w:rsid w:val="006B1E32"/>
    <w:rsid w:val="006B2E33"/>
    <w:rsid w:val="006B678F"/>
    <w:rsid w:val="006C0AAA"/>
    <w:rsid w:val="006C0B8C"/>
    <w:rsid w:val="006C5905"/>
    <w:rsid w:val="006D6792"/>
    <w:rsid w:val="006D7F09"/>
    <w:rsid w:val="006E1252"/>
    <w:rsid w:val="006E2B9D"/>
    <w:rsid w:val="006F2EC4"/>
    <w:rsid w:val="00702401"/>
    <w:rsid w:val="007025CA"/>
    <w:rsid w:val="00707777"/>
    <w:rsid w:val="00715C9B"/>
    <w:rsid w:val="0071682C"/>
    <w:rsid w:val="00720B8A"/>
    <w:rsid w:val="00724F5B"/>
    <w:rsid w:val="00725A48"/>
    <w:rsid w:val="0072736C"/>
    <w:rsid w:val="00727EBB"/>
    <w:rsid w:val="007455BD"/>
    <w:rsid w:val="00746A4A"/>
    <w:rsid w:val="00753AF3"/>
    <w:rsid w:val="00754FD2"/>
    <w:rsid w:val="00757BBA"/>
    <w:rsid w:val="007651F9"/>
    <w:rsid w:val="007748A9"/>
    <w:rsid w:val="0077642A"/>
    <w:rsid w:val="007942BD"/>
    <w:rsid w:val="007A4F94"/>
    <w:rsid w:val="007B3279"/>
    <w:rsid w:val="007B78CB"/>
    <w:rsid w:val="007C07EE"/>
    <w:rsid w:val="007C1E86"/>
    <w:rsid w:val="007D5E64"/>
    <w:rsid w:val="007F59EA"/>
    <w:rsid w:val="00802D9E"/>
    <w:rsid w:val="00806831"/>
    <w:rsid w:val="0081453A"/>
    <w:rsid w:val="00823838"/>
    <w:rsid w:val="00831F96"/>
    <w:rsid w:val="0083383E"/>
    <w:rsid w:val="00842ACA"/>
    <w:rsid w:val="00844868"/>
    <w:rsid w:val="0084581F"/>
    <w:rsid w:val="00851444"/>
    <w:rsid w:val="00852ED7"/>
    <w:rsid w:val="00856323"/>
    <w:rsid w:val="008609C8"/>
    <w:rsid w:val="00872CFD"/>
    <w:rsid w:val="00880298"/>
    <w:rsid w:val="00880954"/>
    <w:rsid w:val="008848B7"/>
    <w:rsid w:val="00886445"/>
    <w:rsid w:val="00890A37"/>
    <w:rsid w:val="008D321E"/>
    <w:rsid w:val="008E4588"/>
    <w:rsid w:val="008F031A"/>
    <w:rsid w:val="008F06AE"/>
    <w:rsid w:val="008F1EDF"/>
    <w:rsid w:val="008F3225"/>
    <w:rsid w:val="008F3299"/>
    <w:rsid w:val="009063D3"/>
    <w:rsid w:val="00910CB9"/>
    <w:rsid w:val="009131FA"/>
    <w:rsid w:val="00917D7C"/>
    <w:rsid w:val="009206FB"/>
    <w:rsid w:val="00933671"/>
    <w:rsid w:val="00933776"/>
    <w:rsid w:val="00941349"/>
    <w:rsid w:val="009429D6"/>
    <w:rsid w:val="00943581"/>
    <w:rsid w:val="00961FE4"/>
    <w:rsid w:val="009632AB"/>
    <w:rsid w:val="00973067"/>
    <w:rsid w:val="00974BFF"/>
    <w:rsid w:val="0097509A"/>
    <w:rsid w:val="00981A0D"/>
    <w:rsid w:val="009844A7"/>
    <w:rsid w:val="00984E5C"/>
    <w:rsid w:val="0098750F"/>
    <w:rsid w:val="00992C6E"/>
    <w:rsid w:val="00997815"/>
    <w:rsid w:val="009A1721"/>
    <w:rsid w:val="009B6EA3"/>
    <w:rsid w:val="009C35D9"/>
    <w:rsid w:val="009D144A"/>
    <w:rsid w:val="009F2DAE"/>
    <w:rsid w:val="009F4F75"/>
    <w:rsid w:val="009F6E14"/>
    <w:rsid w:val="009F7B2B"/>
    <w:rsid w:val="00A02BCB"/>
    <w:rsid w:val="00A227F5"/>
    <w:rsid w:val="00A25304"/>
    <w:rsid w:val="00A31E72"/>
    <w:rsid w:val="00A357EF"/>
    <w:rsid w:val="00A44349"/>
    <w:rsid w:val="00A53621"/>
    <w:rsid w:val="00A54C18"/>
    <w:rsid w:val="00A558BB"/>
    <w:rsid w:val="00A60A0A"/>
    <w:rsid w:val="00A653EB"/>
    <w:rsid w:val="00A71621"/>
    <w:rsid w:val="00A72D7D"/>
    <w:rsid w:val="00A7316B"/>
    <w:rsid w:val="00A766F2"/>
    <w:rsid w:val="00A772D8"/>
    <w:rsid w:val="00A81229"/>
    <w:rsid w:val="00A8546F"/>
    <w:rsid w:val="00A97F47"/>
    <w:rsid w:val="00AA52BF"/>
    <w:rsid w:val="00AB01E6"/>
    <w:rsid w:val="00AB2250"/>
    <w:rsid w:val="00AB3087"/>
    <w:rsid w:val="00AB5241"/>
    <w:rsid w:val="00AB581E"/>
    <w:rsid w:val="00AB5EC3"/>
    <w:rsid w:val="00AD5014"/>
    <w:rsid w:val="00AD56DB"/>
    <w:rsid w:val="00B01725"/>
    <w:rsid w:val="00B1134E"/>
    <w:rsid w:val="00B1425A"/>
    <w:rsid w:val="00B23AA1"/>
    <w:rsid w:val="00B2510F"/>
    <w:rsid w:val="00B26E1A"/>
    <w:rsid w:val="00B3656F"/>
    <w:rsid w:val="00B4078F"/>
    <w:rsid w:val="00B644D6"/>
    <w:rsid w:val="00B706D1"/>
    <w:rsid w:val="00B736EE"/>
    <w:rsid w:val="00B87C3C"/>
    <w:rsid w:val="00B96F65"/>
    <w:rsid w:val="00B974F6"/>
    <w:rsid w:val="00B97A45"/>
    <w:rsid w:val="00BA0BBB"/>
    <w:rsid w:val="00BB5518"/>
    <w:rsid w:val="00BB6A7C"/>
    <w:rsid w:val="00BC2F16"/>
    <w:rsid w:val="00BD070E"/>
    <w:rsid w:val="00BD703F"/>
    <w:rsid w:val="00BF26EC"/>
    <w:rsid w:val="00BF41D3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836CD"/>
    <w:rsid w:val="00CA18BA"/>
    <w:rsid w:val="00CA2824"/>
    <w:rsid w:val="00CA74D0"/>
    <w:rsid w:val="00CB5BDF"/>
    <w:rsid w:val="00CB5D46"/>
    <w:rsid w:val="00CD0C78"/>
    <w:rsid w:val="00CD5135"/>
    <w:rsid w:val="00CD774B"/>
    <w:rsid w:val="00CE15DD"/>
    <w:rsid w:val="00CE76D8"/>
    <w:rsid w:val="00CF1EF9"/>
    <w:rsid w:val="00D06563"/>
    <w:rsid w:val="00D12219"/>
    <w:rsid w:val="00D170E8"/>
    <w:rsid w:val="00D177FD"/>
    <w:rsid w:val="00D17983"/>
    <w:rsid w:val="00D2368B"/>
    <w:rsid w:val="00D24B56"/>
    <w:rsid w:val="00D279FE"/>
    <w:rsid w:val="00D27EBE"/>
    <w:rsid w:val="00D33F1B"/>
    <w:rsid w:val="00D50F86"/>
    <w:rsid w:val="00D722D4"/>
    <w:rsid w:val="00D929AB"/>
    <w:rsid w:val="00D92B9E"/>
    <w:rsid w:val="00D950C1"/>
    <w:rsid w:val="00D96B64"/>
    <w:rsid w:val="00DB5429"/>
    <w:rsid w:val="00DB5A15"/>
    <w:rsid w:val="00DC47BF"/>
    <w:rsid w:val="00DC528A"/>
    <w:rsid w:val="00DD0987"/>
    <w:rsid w:val="00DD275D"/>
    <w:rsid w:val="00DD27F6"/>
    <w:rsid w:val="00DD59E3"/>
    <w:rsid w:val="00DD5B1C"/>
    <w:rsid w:val="00DD5D40"/>
    <w:rsid w:val="00DE1AB6"/>
    <w:rsid w:val="00DE635F"/>
    <w:rsid w:val="00DE63CA"/>
    <w:rsid w:val="00DF6DF8"/>
    <w:rsid w:val="00E156BA"/>
    <w:rsid w:val="00E169EF"/>
    <w:rsid w:val="00E21123"/>
    <w:rsid w:val="00E21A89"/>
    <w:rsid w:val="00E26807"/>
    <w:rsid w:val="00E3427C"/>
    <w:rsid w:val="00E47A40"/>
    <w:rsid w:val="00E50AEF"/>
    <w:rsid w:val="00E54275"/>
    <w:rsid w:val="00E9471E"/>
    <w:rsid w:val="00EA2208"/>
    <w:rsid w:val="00EA71B6"/>
    <w:rsid w:val="00EB3DA4"/>
    <w:rsid w:val="00EB56AF"/>
    <w:rsid w:val="00ED5C09"/>
    <w:rsid w:val="00EF15D4"/>
    <w:rsid w:val="00EF2246"/>
    <w:rsid w:val="00EF33F5"/>
    <w:rsid w:val="00EF3A49"/>
    <w:rsid w:val="00F12591"/>
    <w:rsid w:val="00F1267F"/>
    <w:rsid w:val="00F136AF"/>
    <w:rsid w:val="00F15737"/>
    <w:rsid w:val="00F15BEE"/>
    <w:rsid w:val="00F2163C"/>
    <w:rsid w:val="00F30D01"/>
    <w:rsid w:val="00F32CB2"/>
    <w:rsid w:val="00F41D87"/>
    <w:rsid w:val="00F45836"/>
    <w:rsid w:val="00F612F3"/>
    <w:rsid w:val="00F825CC"/>
    <w:rsid w:val="00F93E66"/>
    <w:rsid w:val="00FA1D6A"/>
    <w:rsid w:val="00FA536C"/>
    <w:rsid w:val="00FA57D6"/>
    <w:rsid w:val="00FA6C0E"/>
    <w:rsid w:val="00FB3625"/>
    <w:rsid w:val="00FB36EF"/>
    <w:rsid w:val="00FD1A9B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4736&amp;date=18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2024-06-24T12:01:00Z</dcterms:created>
  <dcterms:modified xsi:type="dcterms:W3CDTF">2024-06-24T12:20:00Z</dcterms:modified>
</cp:coreProperties>
</file>